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4A6" w:rsidRPr="00AE702C" w:rsidRDefault="00772AFD" w:rsidP="00EC74A6">
      <w:pPr>
        <w:rPr>
          <w:rFonts w:asciiTheme="majorHAnsi" w:hAnsiTheme="majorHAnsi"/>
          <w:b/>
          <w:lang w:val="en-GB"/>
        </w:rPr>
      </w:pPr>
      <w:r>
        <w:rPr>
          <w:rFonts w:asciiTheme="majorHAnsi" w:hAnsiTheme="majorHAnsi"/>
          <w:b/>
          <w:lang w:val="en-GB"/>
        </w:rPr>
        <w:t xml:space="preserve">Session 5: </w:t>
      </w:r>
      <w:r w:rsidR="00EC74A6" w:rsidRPr="00AE702C">
        <w:rPr>
          <w:rFonts w:asciiTheme="majorHAnsi" w:hAnsiTheme="majorHAnsi"/>
          <w:b/>
          <w:lang w:val="en-GB"/>
        </w:rPr>
        <w:t>A WTO framework agreement for sustainable energy</w:t>
      </w:r>
    </w:p>
    <w:p w:rsidR="00EC74A6" w:rsidRPr="00AE702C" w:rsidRDefault="00EC74A6" w:rsidP="00EC74A6">
      <w:pPr>
        <w:rPr>
          <w:rFonts w:asciiTheme="majorHAnsi" w:hAnsiTheme="majorHAnsi"/>
          <w:sz w:val="22"/>
          <w:lang w:val="en-GB"/>
        </w:rPr>
      </w:pPr>
    </w:p>
    <w:p w:rsidR="00EC74A6" w:rsidRPr="00AE702C" w:rsidRDefault="00EC74A6" w:rsidP="00EC74A6">
      <w:pPr>
        <w:rPr>
          <w:rFonts w:asciiTheme="majorHAnsi" w:hAnsiTheme="majorHAnsi"/>
          <w:b/>
          <w:sz w:val="22"/>
          <w:lang w:val="en-GB"/>
        </w:rPr>
      </w:pPr>
    </w:p>
    <w:p w:rsidR="00D55943" w:rsidRPr="00AE702C" w:rsidRDefault="00D55943" w:rsidP="00EC74A6">
      <w:pPr>
        <w:rPr>
          <w:rFonts w:asciiTheme="majorHAnsi" w:hAnsiTheme="majorHAnsi"/>
          <w:b/>
          <w:sz w:val="22"/>
          <w:lang w:val="en-GB"/>
        </w:rPr>
      </w:pPr>
      <w:r w:rsidRPr="00AE702C">
        <w:rPr>
          <w:rFonts w:asciiTheme="majorHAnsi" w:hAnsiTheme="majorHAnsi"/>
          <w:b/>
          <w:sz w:val="22"/>
          <w:lang w:val="en-GB"/>
        </w:rPr>
        <w:t>Sub-theme IV: What next for the multilateral trading system?</w:t>
      </w:r>
    </w:p>
    <w:p w:rsidR="00D55943" w:rsidRPr="00AE702C" w:rsidRDefault="00D55943" w:rsidP="00EC74A6">
      <w:pPr>
        <w:rPr>
          <w:rFonts w:asciiTheme="majorHAnsi" w:hAnsiTheme="majorHAnsi"/>
          <w:b/>
          <w:sz w:val="22"/>
          <w:lang w:val="en-GB"/>
        </w:rPr>
      </w:pPr>
    </w:p>
    <w:p w:rsidR="00D55943" w:rsidRPr="00AE702C" w:rsidRDefault="00D55943" w:rsidP="00EC74A6">
      <w:pPr>
        <w:rPr>
          <w:rFonts w:asciiTheme="majorHAnsi" w:hAnsiTheme="majorHAnsi"/>
          <w:b/>
          <w:sz w:val="22"/>
          <w:lang w:val="en-GB"/>
        </w:rPr>
      </w:pPr>
    </w:p>
    <w:p w:rsidR="00EC74A6" w:rsidRPr="00AE702C" w:rsidRDefault="00EC74A6" w:rsidP="00EC74A6">
      <w:pPr>
        <w:rPr>
          <w:rFonts w:asciiTheme="majorHAnsi" w:hAnsiTheme="majorHAnsi"/>
          <w:sz w:val="22"/>
          <w:lang w:val="en-GB"/>
        </w:rPr>
      </w:pPr>
      <w:r w:rsidRPr="00AE702C">
        <w:rPr>
          <w:rFonts w:asciiTheme="majorHAnsi" w:hAnsiTheme="majorHAnsi"/>
          <w:b/>
          <w:sz w:val="22"/>
          <w:lang w:val="en-GB"/>
        </w:rPr>
        <w:t>Moderator</w:t>
      </w:r>
    </w:p>
    <w:p w:rsidR="00EC74A6" w:rsidRPr="00AE702C" w:rsidRDefault="00EC74A6" w:rsidP="00EC74A6">
      <w:pPr>
        <w:rPr>
          <w:rFonts w:asciiTheme="majorHAnsi" w:hAnsiTheme="majorHAnsi"/>
          <w:sz w:val="22"/>
          <w:lang w:val="en-GB"/>
        </w:rPr>
      </w:pPr>
      <w:r w:rsidRPr="00AE702C">
        <w:rPr>
          <w:rFonts w:asciiTheme="majorHAnsi" w:hAnsiTheme="majorHAnsi"/>
          <w:sz w:val="22"/>
          <w:lang w:val="en-GB"/>
        </w:rPr>
        <w:t xml:space="preserve">Ms Laurence Tubiana, Director, </w:t>
      </w:r>
      <w:r w:rsidR="00AE702C">
        <w:rPr>
          <w:rFonts w:asciiTheme="majorHAnsi" w:hAnsiTheme="majorHAnsi"/>
          <w:sz w:val="22"/>
          <w:lang w:val="en-GB"/>
        </w:rPr>
        <w:t>Institute for Sustainable Development and International Relations (</w:t>
      </w:r>
      <w:r w:rsidRPr="00AE702C">
        <w:rPr>
          <w:rFonts w:asciiTheme="majorHAnsi" w:hAnsiTheme="majorHAnsi"/>
          <w:sz w:val="22"/>
          <w:lang w:val="en-GB"/>
        </w:rPr>
        <w:t xml:space="preserve">Institut du développement durable et des relations </w:t>
      </w:r>
      <w:r w:rsidR="00AE702C">
        <w:rPr>
          <w:rFonts w:asciiTheme="majorHAnsi" w:hAnsiTheme="majorHAnsi"/>
          <w:sz w:val="22"/>
          <w:lang w:val="en-GB"/>
        </w:rPr>
        <w:t xml:space="preserve">internationals – </w:t>
      </w:r>
      <w:r w:rsidRPr="00AE702C">
        <w:rPr>
          <w:rFonts w:asciiTheme="majorHAnsi" w:hAnsiTheme="majorHAnsi"/>
          <w:sz w:val="22"/>
          <w:lang w:val="en-GB"/>
        </w:rPr>
        <w:t>IDDRI)</w:t>
      </w:r>
    </w:p>
    <w:p w:rsidR="00EC74A6" w:rsidRPr="00AE702C" w:rsidRDefault="00EC74A6" w:rsidP="00EC74A6">
      <w:pPr>
        <w:rPr>
          <w:rFonts w:asciiTheme="majorHAnsi" w:hAnsiTheme="majorHAnsi"/>
          <w:sz w:val="22"/>
          <w:lang w:val="en-GB"/>
        </w:rPr>
      </w:pPr>
    </w:p>
    <w:p w:rsidR="00EC74A6" w:rsidRPr="00AE702C" w:rsidRDefault="00EC74A6" w:rsidP="00EC74A6">
      <w:pPr>
        <w:rPr>
          <w:rFonts w:asciiTheme="majorHAnsi" w:hAnsiTheme="majorHAnsi"/>
          <w:b/>
          <w:sz w:val="22"/>
          <w:lang w:val="en-GB"/>
        </w:rPr>
      </w:pPr>
      <w:r w:rsidRPr="00AE702C">
        <w:rPr>
          <w:rFonts w:asciiTheme="majorHAnsi" w:hAnsiTheme="majorHAnsi"/>
          <w:b/>
          <w:sz w:val="22"/>
          <w:lang w:val="en-GB"/>
        </w:rPr>
        <w:t>Speakers</w:t>
      </w:r>
    </w:p>
    <w:p w:rsidR="00AE702C" w:rsidRDefault="00AE702C" w:rsidP="00AE702C">
      <w:pPr>
        <w:widowControl w:val="0"/>
        <w:autoSpaceDE w:val="0"/>
        <w:autoSpaceDN w:val="0"/>
        <w:adjustRightInd w:val="0"/>
        <w:rPr>
          <w:rFonts w:asciiTheme="majorHAnsi" w:hAnsiTheme="majorHAnsi"/>
          <w:sz w:val="22"/>
          <w:lang w:val="en-GB"/>
        </w:rPr>
      </w:pPr>
      <w:r>
        <w:rPr>
          <w:rFonts w:asciiTheme="majorHAnsi" w:hAnsiTheme="majorHAnsi"/>
          <w:sz w:val="22"/>
          <w:lang w:val="en-GB"/>
        </w:rPr>
        <w:t>Mr</w:t>
      </w:r>
      <w:r w:rsidRPr="00AE702C">
        <w:rPr>
          <w:rFonts w:asciiTheme="majorHAnsi" w:hAnsiTheme="majorHAnsi"/>
          <w:sz w:val="22"/>
          <w:lang w:val="en-GB"/>
        </w:rPr>
        <w:t xml:space="preserve"> Nitya Nanda, Fellow, Centre for Global Agreements, Legislation and Trade,</w:t>
      </w:r>
      <w:r>
        <w:rPr>
          <w:rFonts w:asciiTheme="majorHAnsi" w:hAnsiTheme="majorHAnsi"/>
          <w:sz w:val="22"/>
          <w:lang w:val="en-GB"/>
        </w:rPr>
        <w:t xml:space="preserve"> The Energy and Resources Institute (</w:t>
      </w:r>
      <w:r w:rsidRPr="00AE702C">
        <w:rPr>
          <w:rFonts w:asciiTheme="majorHAnsi" w:hAnsiTheme="majorHAnsi"/>
          <w:sz w:val="22"/>
          <w:lang w:val="en-GB"/>
        </w:rPr>
        <w:t>TERI</w:t>
      </w:r>
      <w:r>
        <w:rPr>
          <w:rFonts w:asciiTheme="majorHAnsi" w:hAnsiTheme="majorHAnsi"/>
          <w:sz w:val="22"/>
          <w:lang w:val="en-GB"/>
        </w:rPr>
        <w:t>)</w:t>
      </w:r>
    </w:p>
    <w:p w:rsidR="00AE702C" w:rsidRDefault="00AE702C" w:rsidP="00AE702C">
      <w:pPr>
        <w:tabs>
          <w:tab w:val="left" w:pos="6240"/>
        </w:tabs>
        <w:rPr>
          <w:rFonts w:asciiTheme="majorHAnsi" w:hAnsiTheme="majorHAnsi"/>
          <w:sz w:val="22"/>
        </w:rPr>
      </w:pPr>
      <w:r>
        <w:rPr>
          <w:rFonts w:asciiTheme="majorHAnsi" w:hAnsiTheme="majorHAnsi"/>
          <w:sz w:val="22"/>
        </w:rPr>
        <w:t xml:space="preserve">Mr </w:t>
      </w:r>
      <w:r w:rsidRPr="00AE702C">
        <w:rPr>
          <w:rFonts w:asciiTheme="majorHAnsi" w:hAnsiTheme="majorHAnsi"/>
          <w:sz w:val="22"/>
        </w:rPr>
        <w:t>Jens Alsbrik, Manager</w:t>
      </w:r>
      <w:r>
        <w:rPr>
          <w:rFonts w:asciiTheme="majorHAnsi" w:hAnsiTheme="majorHAnsi"/>
          <w:sz w:val="22"/>
        </w:rPr>
        <w:t>,</w:t>
      </w:r>
      <w:r w:rsidRPr="00AE702C">
        <w:rPr>
          <w:rFonts w:asciiTheme="majorHAnsi" w:hAnsiTheme="majorHAnsi"/>
          <w:sz w:val="22"/>
        </w:rPr>
        <w:t xml:space="preserve"> Market Access</w:t>
      </w:r>
      <w:r>
        <w:rPr>
          <w:rFonts w:asciiTheme="majorHAnsi" w:hAnsiTheme="majorHAnsi"/>
          <w:sz w:val="22"/>
        </w:rPr>
        <w:t>,</w:t>
      </w:r>
      <w:r w:rsidRPr="00AE702C">
        <w:rPr>
          <w:rFonts w:asciiTheme="majorHAnsi" w:hAnsiTheme="majorHAnsi"/>
          <w:sz w:val="22"/>
        </w:rPr>
        <w:t xml:space="preserve"> VESTAS </w:t>
      </w:r>
      <w:r>
        <w:rPr>
          <w:rFonts w:asciiTheme="majorHAnsi" w:hAnsiTheme="majorHAnsi"/>
          <w:sz w:val="22"/>
        </w:rPr>
        <w:t>W</w:t>
      </w:r>
      <w:r w:rsidRPr="00AE702C">
        <w:rPr>
          <w:rFonts w:asciiTheme="majorHAnsi" w:hAnsiTheme="majorHAnsi"/>
          <w:sz w:val="22"/>
        </w:rPr>
        <w:t xml:space="preserve">ind </w:t>
      </w:r>
      <w:r>
        <w:rPr>
          <w:rFonts w:asciiTheme="majorHAnsi" w:hAnsiTheme="majorHAnsi"/>
          <w:sz w:val="22"/>
        </w:rPr>
        <w:t>S</w:t>
      </w:r>
      <w:r w:rsidRPr="00AE702C">
        <w:rPr>
          <w:rFonts w:asciiTheme="majorHAnsi" w:hAnsiTheme="majorHAnsi"/>
          <w:sz w:val="22"/>
        </w:rPr>
        <w:t>ystems</w:t>
      </w:r>
      <w:r>
        <w:rPr>
          <w:rFonts w:asciiTheme="majorHAnsi" w:hAnsiTheme="majorHAnsi"/>
          <w:sz w:val="22"/>
        </w:rPr>
        <w:t xml:space="preserve"> A/S</w:t>
      </w:r>
    </w:p>
    <w:p w:rsidR="00AE702C" w:rsidRDefault="00AE702C" w:rsidP="00AE702C">
      <w:pPr>
        <w:tabs>
          <w:tab w:val="left" w:pos="6240"/>
        </w:tabs>
        <w:rPr>
          <w:rFonts w:asciiTheme="majorHAnsi" w:hAnsiTheme="majorHAnsi"/>
          <w:sz w:val="22"/>
          <w:lang w:val="en-GB"/>
        </w:rPr>
      </w:pPr>
      <w:r>
        <w:rPr>
          <w:rFonts w:asciiTheme="majorHAnsi" w:hAnsiTheme="majorHAnsi"/>
          <w:sz w:val="22"/>
        </w:rPr>
        <w:t xml:space="preserve">Mr </w:t>
      </w:r>
      <w:r w:rsidRPr="00AE702C">
        <w:rPr>
          <w:rFonts w:asciiTheme="majorHAnsi" w:hAnsiTheme="majorHAnsi"/>
          <w:sz w:val="22"/>
        </w:rPr>
        <w:t>Emmanuel Guérin, Director</w:t>
      </w:r>
      <w:r>
        <w:rPr>
          <w:rFonts w:asciiTheme="majorHAnsi" w:hAnsiTheme="majorHAnsi"/>
          <w:sz w:val="22"/>
        </w:rPr>
        <w:t xml:space="preserve">, </w:t>
      </w:r>
      <w:r w:rsidRPr="00AE702C">
        <w:rPr>
          <w:rFonts w:asciiTheme="majorHAnsi" w:hAnsiTheme="majorHAnsi"/>
          <w:sz w:val="22"/>
        </w:rPr>
        <w:t>Climate Programme</w:t>
      </w:r>
      <w:r>
        <w:rPr>
          <w:rFonts w:asciiTheme="majorHAnsi" w:hAnsiTheme="majorHAnsi"/>
          <w:sz w:val="22"/>
        </w:rPr>
        <w:t>,</w:t>
      </w:r>
      <w:r w:rsidRPr="00AE702C">
        <w:rPr>
          <w:rFonts w:asciiTheme="majorHAnsi" w:hAnsiTheme="majorHAnsi"/>
          <w:sz w:val="22"/>
        </w:rPr>
        <w:t xml:space="preserve"> IDDRI</w:t>
      </w:r>
    </w:p>
    <w:p w:rsidR="00AE702C" w:rsidRPr="00AE702C" w:rsidRDefault="00AE702C" w:rsidP="00AE702C">
      <w:pPr>
        <w:rPr>
          <w:rFonts w:asciiTheme="majorHAnsi" w:hAnsiTheme="majorHAnsi"/>
          <w:sz w:val="22"/>
          <w:lang w:val="en-GB"/>
        </w:rPr>
      </w:pPr>
      <w:r w:rsidRPr="00AE702C">
        <w:rPr>
          <w:rFonts w:asciiTheme="majorHAnsi" w:hAnsiTheme="majorHAnsi"/>
          <w:sz w:val="22"/>
          <w:lang w:val="en-GB"/>
        </w:rPr>
        <w:t>Mr Ricardo Melendez-Ortiz, Chief Executive, International Centre for Trade and Sustainable Development (ICTSD)</w:t>
      </w:r>
    </w:p>
    <w:p w:rsidR="00EC74A6" w:rsidRPr="00AE702C" w:rsidRDefault="00EC74A6" w:rsidP="00EC74A6">
      <w:pPr>
        <w:rPr>
          <w:rFonts w:asciiTheme="majorHAnsi" w:hAnsiTheme="majorHAnsi"/>
          <w:sz w:val="22"/>
          <w:lang w:val="en-GB"/>
        </w:rPr>
      </w:pPr>
    </w:p>
    <w:p w:rsidR="00EC74A6" w:rsidRPr="00AE702C" w:rsidRDefault="00EC74A6" w:rsidP="00EC74A6">
      <w:pPr>
        <w:rPr>
          <w:rFonts w:asciiTheme="majorHAnsi" w:hAnsiTheme="majorHAnsi"/>
          <w:b/>
          <w:sz w:val="22"/>
          <w:lang w:val="en-GB"/>
        </w:rPr>
      </w:pPr>
      <w:r w:rsidRPr="00AE702C">
        <w:rPr>
          <w:rFonts w:asciiTheme="majorHAnsi" w:hAnsiTheme="majorHAnsi"/>
          <w:b/>
          <w:sz w:val="22"/>
          <w:lang w:val="en-GB"/>
        </w:rPr>
        <w:t>Organized by</w:t>
      </w:r>
    </w:p>
    <w:p w:rsidR="00AE702C" w:rsidRDefault="00AE702C" w:rsidP="00EC74A6">
      <w:pPr>
        <w:rPr>
          <w:rFonts w:asciiTheme="majorHAnsi" w:hAnsiTheme="majorHAnsi"/>
          <w:sz w:val="22"/>
          <w:lang w:val="en-GB"/>
        </w:rPr>
      </w:pPr>
      <w:r>
        <w:rPr>
          <w:rFonts w:asciiTheme="majorHAnsi" w:hAnsiTheme="majorHAnsi"/>
          <w:sz w:val="22"/>
          <w:lang w:val="en-GB"/>
        </w:rPr>
        <w:t>Institute for Sustainable Development and International Relations (</w:t>
      </w:r>
      <w:r w:rsidRPr="00AE702C">
        <w:rPr>
          <w:rFonts w:asciiTheme="majorHAnsi" w:hAnsiTheme="majorHAnsi"/>
          <w:sz w:val="22"/>
          <w:lang w:val="en-GB"/>
        </w:rPr>
        <w:t xml:space="preserve">Institut du développement durable et des relations </w:t>
      </w:r>
      <w:r>
        <w:rPr>
          <w:rFonts w:asciiTheme="majorHAnsi" w:hAnsiTheme="majorHAnsi"/>
          <w:sz w:val="22"/>
          <w:lang w:val="en-GB"/>
        </w:rPr>
        <w:t xml:space="preserve">internationals – </w:t>
      </w:r>
      <w:r w:rsidRPr="00AE702C">
        <w:rPr>
          <w:rFonts w:asciiTheme="majorHAnsi" w:hAnsiTheme="majorHAnsi"/>
          <w:sz w:val="22"/>
          <w:lang w:val="en-GB"/>
        </w:rPr>
        <w:t>IDDRI)</w:t>
      </w:r>
    </w:p>
    <w:p w:rsidR="00EC74A6" w:rsidRPr="00AE702C" w:rsidRDefault="00EC74A6" w:rsidP="00EC74A6">
      <w:pPr>
        <w:rPr>
          <w:rFonts w:asciiTheme="majorHAnsi" w:hAnsiTheme="majorHAnsi"/>
          <w:sz w:val="22"/>
          <w:lang w:val="en-GB"/>
        </w:rPr>
      </w:pPr>
      <w:r w:rsidRPr="00AE702C">
        <w:rPr>
          <w:rFonts w:asciiTheme="majorHAnsi" w:hAnsiTheme="majorHAnsi"/>
          <w:sz w:val="22"/>
          <w:lang w:val="en-GB"/>
        </w:rPr>
        <w:t>International Centre for Trade and Sustainable Development (ICTSD)</w:t>
      </w:r>
    </w:p>
    <w:p w:rsidR="00EC74A6" w:rsidRPr="00AE702C" w:rsidRDefault="00EC74A6" w:rsidP="00EC74A6">
      <w:pPr>
        <w:rPr>
          <w:rFonts w:asciiTheme="majorHAnsi" w:hAnsiTheme="majorHAnsi"/>
          <w:sz w:val="22"/>
          <w:lang w:val="en-GB"/>
        </w:rPr>
      </w:pPr>
    </w:p>
    <w:p w:rsidR="00EC74A6" w:rsidRPr="00AE702C" w:rsidRDefault="00D55943" w:rsidP="00EC74A6">
      <w:pPr>
        <w:rPr>
          <w:rFonts w:asciiTheme="majorHAnsi" w:hAnsiTheme="majorHAnsi"/>
          <w:b/>
          <w:sz w:val="22"/>
          <w:lang w:val="en-GB"/>
        </w:rPr>
      </w:pPr>
      <w:r w:rsidRPr="00AE702C">
        <w:rPr>
          <w:rFonts w:asciiTheme="majorHAnsi" w:hAnsiTheme="majorHAnsi"/>
          <w:sz w:val="22"/>
          <w:lang w:val="en-GB"/>
        </w:rPr>
        <w:t>Monday, 19 September – 12.00-14.00</w:t>
      </w:r>
      <w:r w:rsidRPr="00AE702C">
        <w:rPr>
          <w:rFonts w:asciiTheme="majorHAnsi" w:hAnsiTheme="majorHAnsi"/>
          <w:sz w:val="22"/>
          <w:lang w:val="en-GB"/>
        </w:rPr>
        <w:br w:type="column"/>
      </w:r>
      <w:r w:rsidR="00EC74A6" w:rsidRPr="00AE702C">
        <w:rPr>
          <w:rFonts w:asciiTheme="majorHAnsi" w:hAnsiTheme="majorHAnsi"/>
          <w:b/>
          <w:sz w:val="22"/>
          <w:lang w:val="en-GB"/>
        </w:rPr>
        <w:t>Abstract</w:t>
      </w:r>
    </w:p>
    <w:p w:rsidR="00EC74A6" w:rsidRPr="00AE702C" w:rsidRDefault="00EC74A6" w:rsidP="00EC74A6">
      <w:pPr>
        <w:jc w:val="both"/>
        <w:rPr>
          <w:rFonts w:asciiTheme="majorHAnsi" w:hAnsiTheme="majorHAnsi"/>
          <w:sz w:val="22"/>
          <w:lang w:val="en-GB"/>
        </w:rPr>
      </w:pPr>
    </w:p>
    <w:p w:rsidR="00DA2E09" w:rsidRPr="00AE702C" w:rsidRDefault="00DA2E09" w:rsidP="00625299">
      <w:pPr>
        <w:rPr>
          <w:rFonts w:asciiTheme="majorHAnsi" w:hAnsiTheme="majorHAnsi"/>
          <w:sz w:val="22"/>
        </w:rPr>
      </w:pPr>
      <w:r w:rsidRPr="00AE702C">
        <w:rPr>
          <w:rFonts w:asciiTheme="majorHAnsi" w:hAnsiTheme="majorHAnsi"/>
          <w:sz w:val="22"/>
        </w:rPr>
        <w:t>Both from the viewpoint of climate change and of energy security, the sustainable supply of energy is a critical issue. However, the regulation of energy is currently highly fragmented, including within the WTO.</w:t>
      </w:r>
    </w:p>
    <w:p w:rsidR="00DA2E09" w:rsidRPr="00AE702C" w:rsidRDefault="00DA2E09" w:rsidP="00625299">
      <w:pPr>
        <w:rPr>
          <w:rFonts w:asciiTheme="majorHAnsi" w:hAnsiTheme="majorHAnsi"/>
          <w:sz w:val="22"/>
        </w:rPr>
      </w:pPr>
    </w:p>
    <w:p w:rsidR="00DA2E09" w:rsidRPr="00AE702C" w:rsidRDefault="00DA2E09" w:rsidP="00625299">
      <w:pPr>
        <w:rPr>
          <w:rFonts w:asciiTheme="majorHAnsi" w:hAnsiTheme="majorHAnsi"/>
          <w:sz w:val="22"/>
        </w:rPr>
      </w:pPr>
      <w:r w:rsidRPr="00AE702C">
        <w:rPr>
          <w:rFonts w:asciiTheme="majorHAnsi" w:hAnsiTheme="majorHAnsi"/>
          <w:sz w:val="22"/>
        </w:rPr>
        <w:t xml:space="preserve">The purpose of this session </w:t>
      </w:r>
      <w:r w:rsidR="00461D2E">
        <w:rPr>
          <w:rFonts w:asciiTheme="majorHAnsi" w:hAnsiTheme="majorHAnsi"/>
          <w:sz w:val="22"/>
        </w:rPr>
        <w:t>was</w:t>
      </w:r>
      <w:r w:rsidRPr="00AE702C">
        <w:rPr>
          <w:rFonts w:asciiTheme="majorHAnsi" w:hAnsiTheme="majorHAnsi"/>
          <w:sz w:val="22"/>
        </w:rPr>
        <w:t xml:space="preserve"> to get a sense of the challenges that the development of a sustainable energy supply are likely raise in terms of WTO rules, to raise awareness of these issues with the trade community in and beyond Geneva, and to acquire input in order to move forward with an integrated framework for sustainable energy in the WTO. </w:t>
      </w:r>
    </w:p>
    <w:p w:rsidR="00DA2E09" w:rsidRPr="00AE702C" w:rsidRDefault="00DA2E09" w:rsidP="00625299">
      <w:pPr>
        <w:rPr>
          <w:rFonts w:asciiTheme="majorHAnsi" w:hAnsiTheme="majorHAnsi"/>
          <w:sz w:val="22"/>
        </w:rPr>
      </w:pPr>
    </w:p>
    <w:p w:rsidR="00DA2E09" w:rsidRPr="00625299" w:rsidRDefault="00DA2E09" w:rsidP="00625299">
      <w:pPr>
        <w:pStyle w:val="NormalWeb"/>
        <w:spacing w:beforeLines="0" w:afterLines="0"/>
        <w:rPr>
          <w:rFonts w:asciiTheme="majorHAnsi" w:hAnsiTheme="majorHAnsi" w:cstheme="minorBidi"/>
          <w:sz w:val="22"/>
          <w:szCs w:val="24"/>
        </w:rPr>
      </w:pPr>
      <w:r w:rsidRPr="00625299">
        <w:rPr>
          <w:rFonts w:asciiTheme="majorHAnsi" w:hAnsiTheme="majorHAnsi" w:cstheme="minorBidi"/>
          <w:sz w:val="22"/>
          <w:szCs w:val="24"/>
        </w:rPr>
        <w:t>The event feature</w:t>
      </w:r>
      <w:r w:rsidR="00461D2E" w:rsidRPr="00625299">
        <w:rPr>
          <w:rFonts w:asciiTheme="majorHAnsi" w:hAnsiTheme="majorHAnsi" w:cstheme="minorBidi"/>
          <w:sz w:val="22"/>
          <w:szCs w:val="24"/>
        </w:rPr>
        <w:t>d</w:t>
      </w:r>
      <w:r w:rsidRPr="00625299">
        <w:rPr>
          <w:rFonts w:asciiTheme="majorHAnsi" w:hAnsiTheme="majorHAnsi" w:cstheme="minorBidi"/>
          <w:sz w:val="22"/>
          <w:szCs w:val="24"/>
        </w:rPr>
        <w:t xml:space="preserve"> clean energy experts and representatives from</w:t>
      </w:r>
      <w:r w:rsidR="00625299" w:rsidRPr="00625299">
        <w:rPr>
          <w:rFonts w:asciiTheme="majorHAnsi" w:hAnsiTheme="majorHAnsi" w:cstheme="minorBidi"/>
          <w:sz w:val="22"/>
          <w:szCs w:val="24"/>
        </w:rPr>
        <w:t xml:space="preserve"> </w:t>
      </w:r>
      <w:r w:rsidRPr="00625299">
        <w:rPr>
          <w:rFonts w:asciiTheme="majorHAnsi" w:hAnsiTheme="majorHAnsi" w:cstheme="minorBidi"/>
          <w:sz w:val="22"/>
          <w:szCs w:val="24"/>
        </w:rPr>
        <w:t>the private sector</w:t>
      </w:r>
      <w:r w:rsidR="00625299" w:rsidRPr="00625299">
        <w:rPr>
          <w:rFonts w:asciiTheme="majorHAnsi" w:hAnsiTheme="majorHAnsi" w:cstheme="minorBidi"/>
          <w:sz w:val="22"/>
          <w:szCs w:val="24"/>
        </w:rPr>
        <w:t xml:space="preserve">, academia, and not-for-profit organizations </w:t>
      </w:r>
      <w:r w:rsidRPr="00625299">
        <w:rPr>
          <w:rFonts w:asciiTheme="majorHAnsi" w:hAnsiTheme="majorHAnsi" w:cstheme="minorBidi"/>
          <w:sz w:val="22"/>
          <w:szCs w:val="24"/>
        </w:rPr>
        <w:t xml:space="preserve">on the state of play of clean energy support (including production subsidies and feed-in tariffs), climate-friendly goods and services, and other issues involved in the development of a sustainable energy supply. </w:t>
      </w:r>
      <w:r w:rsidR="00625299" w:rsidRPr="00625299">
        <w:rPr>
          <w:rFonts w:asciiTheme="majorHAnsi" w:hAnsiTheme="majorHAnsi" w:cstheme="minorBidi"/>
          <w:sz w:val="22"/>
          <w:szCs w:val="24"/>
        </w:rPr>
        <w:t>The aim was</w:t>
      </w:r>
      <w:r w:rsidRPr="00625299">
        <w:rPr>
          <w:rFonts w:asciiTheme="majorHAnsi" w:hAnsiTheme="majorHAnsi" w:cstheme="minorBidi"/>
          <w:sz w:val="22"/>
          <w:szCs w:val="24"/>
        </w:rPr>
        <w:t xml:space="preserve"> to fuel creative thinking on potential multilateral responses to existing challenges regarding the issue of energy in the WTO. </w:t>
      </w:r>
      <w:r w:rsidR="00625299" w:rsidRPr="00625299">
        <w:rPr>
          <w:rFonts w:asciiTheme="majorHAnsi" w:hAnsiTheme="majorHAnsi" w:cstheme="minorBidi"/>
          <w:sz w:val="22"/>
          <w:szCs w:val="24"/>
        </w:rPr>
        <w:t>The session focused on the dialogue between energy and trade policy, as well as the prospective receptiveness of WTO rules for a framework agreement on energy, converging on the inappropriateness of the existing setting to foster the debate and move towards renewable energy.</w:t>
      </w:r>
    </w:p>
    <w:p w:rsidR="00DA2E09" w:rsidRPr="00AE702C" w:rsidRDefault="00DA2E09" w:rsidP="00625299">
      <w:pPr>
        <w:rPr>
          <w:rFonts w:asciiTheme="majorHAnsi" w:hAnsiTheme="majorHAnsi"/>
          <w:sz w:val="22"/>
        </w:rPr>
      </w:pPr>
    </w:p>
    <w:p w:rsidR="00DA2E09" w:rsidRPr="00AE702C" w:rsidRDefault="00DA2E09" w:rsidP="00625299">
      <w:pPr>
        <w:rPr>
          <w:rFonts w:asciiTheme="majorHAnsi" w:hAnsiTheme="majorHAnsi"/>
          <w:sz w:val="22"/>
        </w:rPr>
      </w:pPr>
      <w:r w:rsidRPr="00AE702C">
        <w:rPr>
          <w:rFonts w:asciiTheme="majorHAnsi" w:hAnsiTheme="majorHAnsi"/>
          <w:sz w:val="22"/>
        </w:rPr>
        <w:t xml:space="preserve">The following questions </w:t>
      </w:r>
      <w:r w:rsidR="00625299">
        <w:rPr>
          <w:rFonts w:asciiTheme="majorHAnsi" w:hAnsiTheme="majorHAnsi"/>
          <w:sz w:val="22"/>
        </w:rPr>
        <w:t>were</w:t>
      </w:r>
      <w:r w:rsidRPr="00AE702C">
        <w:rPr>
          <w:rFonts w:asciiTheme="majorHAnsi" w:hAnsiTheme="majorHAnsi"/>
          <w:sz w:val="22"/>
        </w:rPr>
        <w:t xml:space="preserve"> raised:</w:t>
      </w:r>
    </w:p>
    <w:p w:rsidR="00DA2E09" w:rsidRPr="00AE702C" w:rsidRDefault="00DA2E09" w:rsidP="00625299">
      <w:pPr>
        <w:rPr>
          <w:rFonts w:asciiTheme="majorHAnsi" w:hAnsiTheme="majorHAnsi"/>
          <w:sz w:val="22"/>
        </w:rPr>
      </w:pPr>
    </w:p>
    <w:p w:rsidR="00DA2E09" w:rsidRPr="00AE702C" w:rsidRDefault="00DA2E09" w:rsidP="00625299">
      <w:pPr>
        <w:pStyle w:val="ListParagraph"/>
        <w:numPr>
          <w:ilvl w:val="0"/>
          <w:numId w:val="1"/>
        </w:numPr>
        <w:rPr>
          <w:rFonts w:asciiTheme="majorHAnsi" w:hAnsiTheme="majorHAnsi"/>
          <w:sz w:val="22"/>
        </w:rPr>
      </w:pPr>
      <w:r w:rsidRPr="00AE702C">
        <w:rPr>
          <w:rFonts w:asciiTheme="majorHAnsi" w:hAnsiTheme="majorHAnsi"/>
          <w:sz w:val="22"/>
        </w:rPr>
        <w:t>Are current WTO rules supportive of clean energy development?</w:t>
      </w:r>
    </w:p>
    <w:p w:rsidR="00DA2E09" w:rsidRPr="00AE702C" w:rsidRDefault="00DA2E09" w:rsidP="00625299">
      <w:pPr>
        <w:rPr>
          <w:rFonts w:asciiTheme="majorHAnsi" w:hAnsiTheme="majorHAnsi"/>
          <w:sz w:val="22"/>
        </w:rPr>
      </w:pPr>
    </w:p>
    <w:p w:rsidR="00DA2E09" w:rsidRPr="00AE702C" w:rsidRDefault="00DA2E09" w:rsidP="00625299">
      <w:pPr>
        <w:pStyle w:val="ListParagraph"/>
        <w:numPr>
          <w:ilvl w:val="0"/>
          <w:numId w:val="1"/>
        </w:numPr>
        <w:rPr>
          <w:rFonts w:asciiTheme="majorHAnsi" w:hAnsiTheme="majorHAnsi"/>
          <w:sz w:val="22"/>
        </w:rPr>
      </w:pPr>
      <w:r w:rsidRPr="00AE702C">
        <w:rPr>
          <w:rFonts w:asciiTheme="majorHAnsi" w:hAnsiTheme="majorHAnsi"/>
          <w:sz w:val="22"/>
        </w:rPr>
        <w:t>How can current and future trade regulation encourage clean energy development?</w:t>
      </w:r>
    </w:p>
    <w:p w:rsidR="00DA2E09" w:rsidRPr="00AE702C" w:rsidRDefault="00DA2E09" w:rsidP="00625299">
      <w:pPr>
        <w:rPr>
          <w:rFonts w:asciiTheme="majorHAnsi" w:hAnsiTheme="majorHAnsi"/>
          <w:sz w:val="22"/>
        </w:rPr>
      </w:pPr>
    </w:p>
    <w:p w:rsidR="00DA2E09" w:rsidRPr="00AE702C" w:rsidRDefault="00DA2E09" w:rsidP="00625299">
      <w:pPr>
        <w:pStyle w:val="ListParagraph"/>
        <w:numPr>
          <w:ilvl w:val="0"/>
          <w:numId w:val="1"/>
        </w:numPr>
        <w:rPr>
          <w:rFonts w:asciiTheme="majorHAnsi" w:hAnsiTheme="majorHAnsi"/>
          <w:sz w:val="22"/>
        </w:rPr>
      </w:pPr>
      <w:r w:rsidRPr="00AE702C">
        <w:rPr>
          <w:rFonts w:asciiTheme="majorHAnsi" w:hAnsiTheme="majorHAnsi"/>
          <w:sz w:val="22"/>
        </w:rPr>
        <w:t>How would a framework agreement on energy in the WTO fit with other WTO Agreements?</w:t>
      </w:r>
    </w:p>
    <w:p w:rsidR="00DA2E09" w:rsidRPr="00AE702C" w:rsidRDefault="00DA2E09" w:rsidP="00625299">
      <w:pPr>
        <w:rPr>
          <w:rFonts w:asciiTheme="majorHAnsi" w:hAnsiTheme="majorHAnsi"/>
          <w:sz w:val="22"/>
        </w:rPr>
      </w:pPr>
    </w:p>
    <w:p w:rsidR="00DA2E09" w:rsidRPr="00AE702C" w:rsidRDefault="00DA2E09" w:rsidP="00625299">
      <w:pPr>
        <w:pStyle w:val="ListParagraph"/>
        <w:numPr>
          <w:ilvl w:val="0"/>
          <w:numId w:val="1"/>
        </w:numPr>
        <w:rPr>
          <w:rFonts w:asciiTheme="majorHAnsi" w:hAnsiTheme="majorHAnsi"/>
          <w:sz w:val="22"/>
        </w:rPr>
      </w:pPr>
      <w:r w:rsidRPr="00AE702C">
        <w:rPr>
          <w:rFonts w:asciiTheme="majorHAnsi" w:hAnsiTheme="majorHAnsi"/>
          <w:sz w:val="22"/>
        </w:rPr>
        <w:t>How do current WTO disputes on renewable energy support influence the political economy of negotiations on this topic?</w:t>
      </w:r>
    </w:p>
    <w:p w:rsidR="00DA2E09" w:rsidRPr="00AE702C" w:rsidRDefault="00DA2E09" w:rsidP="00625299">
      <w:pPr>
        <w:rPr>
          <w:rFonts w:asciiTheme="majorHAnsi" w:hAnsiTheme="majorHAnsi"/>
          <w:sz w:val="22"/>
        </w:rPr>
      </w:pPr>
    </w:p>
    <w:p w:rsidR="00AE702C" w:rsidRPr="00AE702C" w:rsidRDefault="00AE702C" w:rsidP="00625299">
      <w:pPr>
        <w:rPr>
          <w:rFonts w:asciiTheme="majorHAnsi" w:hAnsiTheme="majorHAnsi"/>
          <w:b/>
          <w:sz w:val="22"/>
          <w:lang w:val="en-GB"/>
        </w:rPr>
      </w:pPr>
      <w:r>
        <w:rPr>
          <w:rFonts w:asciiTheme="majorHAnsi" w:hAnsiTheme="majorHAnsi"/>
          <w:b/>
          <w:sz w:val="22"/>
          <w:lang w:val="en-GB"/>
        </w:rPr>
        <w:t>1. Presentations by the panellists</w:t>
      </w:r>
    </w:p>
    <w:p w:rsidR="00AE702C" w:rsidRDefault="00AE702C" w:rsidP="00DA2E09">
      <w:pPr>
        <w:pStyle w:val="NormalWeb"/>
        <w:spacing w:before="2" w:after="2"/>
        <w:rPr>
          <w:rFonts w:asciiTheme="majorHAnsi" w:hAnsiTheme="majorHAnsi"/>
          <w:sz w:val="22"/>
        </w:rPr>
      </w:pPr>
    </w:p>
    <w:p w:rsidR="00AE702C" w:rsidRPr="00AE702C" w:rsidRDefault="00AE702C" w:rsidP="00AE702C">
      <w:pPr>
        <w:widowControl w:val="0"/>
        <w:autoSpaceDE w:val="0"/>
        <w:autoSpaceDN w:val="0"/>
        <w:adjustRightInd w:val="0"/>
        <w:rPr>
          <w:rFonts w:asciiTheme="majorHAnsi" w:hAnsiTheme="majorHAnsi"/>
          <w:i/>
          <w:sz w:val="22"/>
          <w:lang w:val="en-GB"/>
        </w:rPr>
      </w:pPr>
      <w:r w:rsidRPr="00AE702C">
        <w:rPr>
          <w:rFonts w:asciiTheme="majorHAnsi" w:hAnsiTheme="majorHAnsi"/>
          <w:i/>
          <w:sz w:val="22"/>
          <w:lang w:val="en-GB"/>
        </w:rPr>
        <w:t>(a) Mr Nitya Nanda, Fellow, Centre for Global Agreements, Legislation and Trade, The Energy and Resources Institute (TERI)</w:t>
      </w:r>
    </w:p>
    <w:p w:rsidR="00DA2E09" w:rsidRPr="00AE702C" w:rsidRDefault="00DA2E09" w:rsidP="00DA2E09">
      <w:pPr>
        <w:pStyle w:val="NormalWeb"/>
        <w:spacing w:before="2" w:after="2"/>
        <w:rPr>
          <w:rFonts w:asciiTheme="majorHAnsi" w:hAnsiTheme="majorHAnsi"/>
          <w:sz w:val="22"/>
        </w:rPr>
      </w:pPr>
    </w:p>
    <w:p w:rsidR="00AE702C" w:rsidRPr="00AE702C" w:rsidRDefault="00AE702C" w:rsidP="00DA2E09">
      <w:pPr>
        <w:pStyle w:val="NormalWeb"/>
        <w:spacing w:before="2" w:after="2"/>
        <w:rPr>
          <w:rFonts w:asciiTheme="majorHAnsi" w:hAnsiTheme="majorHAnsi"/>
          <w:sz w:val="22"/>
        </w:rPr>
      </w:pPr>
      <w:r>
        <w:rPr>
          <w:rFonts w:asciiTheme="majorHAnsi" w:hAnsiTheme="majorHAnsi"/>
          <w:sz w:val="22"/>
        </w:rPr>
        <w:t>Mr</w:t>
      </w:r>
      <w:r w:rsidR="00DA2E09" w:rsidRPr="00AE702C">
        <w:rPr>
          <w:rFonts w:asciiTheme="majorHAnsi" w:hAnsiTheme="majorHAnsi"/>
          <w:sz w:val="22"/>
        </w:rPr>
        <w:t xml:space="preserve"> Nanda</w:t>
      </w:r>
      <w:r>
        <w:rPr>
          <w:rFonts w:asciiTheme="majorHAnsi" w:hAnsiTheme="majorHAnsi"/>
          <w:sz w:val="22"/>
        </w:rPr>
        <w:t xml:space="preserve"> </w:t>
      </w:r>
      <w:r w:rsidR="00DA2E09" w:rsidRPr="00AE702C">
        <w:rPr>
          <w:rFonts w:asciiTheme="majorHAnsi" w:hAnsiTheme="majorHAnsi"/>
          <w:sz w:val="22"/>
        </w:rPr>
        <w:t xml:space="preserve">noted that global energy governance is hindered by gaps in regulation and the resistance from developing countries, especially towards accession to the Energy Charter Treaty, due to the standing granted to private parties in its dispute resolution system. In that regard, he </w:t>
      </w:r>
      <w:r w:rsidR="00625299" w:rsidRPr="00AE702C">
        <w:rPr>
          <w:rFonts w:asciiTheme="majorHAnsi" w:hAnsiTheme="majorHAnsi"/>
          <w:sz w:val="22"/>
        </w:rPr>
        <w:t xml:space="preserve">particularly </w:t>
      </w:r>
      <w:r w:rsidR="00DA2E09" w:rsidRPr="00AE702C">
        <w:rPr>
          <w:rFonts w:asciiTheme="majorHAnsi" w:hAnsiTheme="majorHAnsi"/>
          <w:sz w:val="22"/>
        </w:rPr>
        <w:t>noted the comparative advantage of the WTO dispute settlement system. Conversely, the absence of some important energy supplying countries among the WTO membership may prevent bringing the issues to the organization. He also argued that</w:t>
      </w:r>
      <w:r w:rsidR="00625299">
        <w:rPr>
          <w:rFonts w:asciiTheme="majorHAnsi" w:hAnsiTheme="majorHAnsi"/>
          <w:sz w:val="22"/>
        </w:rPr>
        <w:t>,</w:t>
      </w:r>
      <w:r w:rsidR="00DA2E09" w:rsidRPr="00AE702C">
        <w:rPr>
          <w:rFonts w:asciiTheme="majorHAnsi" w:hAnsiTheme="majorHAnsi"/>
          <w:sz w:val="22"/>
        </w:rPr>
        <w:t xml:space="preserve"> </w:t>
      </w:r>
      <w:r w:rsidR="00625299">
        <w:rPr>
          <w:rFonts w:asciiTheme="majorHAnsi" w:hAnsiTheme="majorHAnsi"/>
          <w:sz w:val="22"/>
        </w:rPr>
        <w:t>in addition to</w:t>
      </w:r>
      <w:r w:rsidR="00DA2E09" w:rsidRPr="00AE702C">
        <w:rPr>
          <w:rFonts w:asciiTheme="majorHAnsi" w:hAnsiTheme="majorHAnsi"/>
          <w:sz w:val="22"/>
        </w:rPr>
        <w:t xml:space="preserve"> modern energies, transitional types of energy would also benefit from regulation, since transition will not happen </w:t>
      </w:r>
      <w:r w:rsidR="00625299">
        <w:rPr>
          <w:rFonts w:asciiTheme="majorHAnsi" w:hAnsiTheme="majorHAnsi"/>
          <w:sz w:val="22"/>
        </w:rPr>
        <w:t>in the space of a day</w:t>
      </w:r>
      <w:r w:rsidR="00DA2E09" w:rsidRPr="00AE702C">
        <w:rPr>
          <w:rFonts w:asciiTheme="majorHAnsi" w:hAnsiTheme="majorHAnsi"/>
          <w:sz w:val="22"/>
        </w:rPr>
        <w:t xml:space="preserve">. </w:t>
      </w:r>
    </w:p>
    <w:p w:rsidR="00DA2E09" w:rsidRPr="00AE702C" w:rsidRDefault="00DA2E09" w:rsidP="00DA2E09">
      <w:pPr>
        <w:pStyle w:val="NormalWeb"/>
        <w:spacing w:before="2" w:after="2"/>
        <w:rPr>
          <w:rFonts w:asciiTheme="majorHAnsi" w:hAnsiTheme="majorHAnsi"/>
          <w:sz w:val="22"/>
        </w:rPr>
      </w:pPr>
    </w:p>
    <w:p w:rsidR="00AE702C" w:rsidRPr="00AE702C" w:rsidRDefault="00AE702C" w:rsidP="00AE702C">
      <w:pPr>
        <w:tabs>
          <w:tab w:val="left" w:pos="6240"/>
        </w:tabs>
        <w:rPr>
          <w:rFonts w:asciiTheme="majorHAnsi" w:hAnsiTheme="majorHAnsi"/>
          <w:i/>
          <w:sz w:val="22"/>
          <w:lang w:val="en-GB"/>
        </w:rPr>
      </w:pPr>
      <w:r w:rsidRPr="00AE702C">
        <w:rPr>
          <w:rFonts w:asciiTheme="majorHAnsi" w:hAnsiTheme="majorHAnsi"/>
          <w:i/>
          <w:sz w:val="22"/>
        </w:rPr>
        <w:t>(b) Mr Jens Alsbrik, Manager, Market Access, VESTAS Wind Systems A/S</w:t>
      </w:r>
    </w:p>
    <w:p w:rsidR="00AE702C" w:rsidRDefault="00AE702C" w:rsidP="00DA2E09">
      <w:pPr>
        <w:pStyle w:val="NormalWeb"/>
        <w:spacing w:before="2" w:after="2"/>
        <w:rPr>
          <w:rFonts w:asciiTheme="majorHAnsi" w:hAnsiTheme="majorHAnsi"/>
          <w:sz w:val="22"/>
        </w:rPr>
      </w:pPr>
    </w:p>
    <w:p w:rsidR="00AE702C" w:rsidRPr="00AE702C" w:rsidRDefault="00AE702C" w:rsidP="00DA2E09">
      <w:pPr>
        <w:pStyle w:val="NormalWeb"/>
        <w:spacing w:before="2" w:after="2"/>
        <w:rPr>
          <w:rFonts w:asciiTheme="majorHAnsi" w:hAnsiTheme="majorHAnsi"/>
          <w:sz w:val="22"/>
        </w:rPr>
      </w:pPr>
      <w:r>
        <w:rPr>
          <w:rFonts w:asciiTheme="majorHAnsi" w:hAnsiTheme="majorHAnsi"/>
          <w:sz w:val="22"/>
        </w:rPr>
        <w:t>Mr Alsbrik</w:t>
      </w:r>
      <w:r w:rsidR="00DA2E09" w:rsidRPr="00AE702C">
        <w:rPr>
          <w:rFonts w:asciiTheme="majorHAnsi" w:hAnsiTheme="majorHAnsi"/>
          <w:sz w:val="22"/>
        </w:rPr>
        <w:t xml:space="preserve"> noted that tariff barriers remain </w:t>
      </w:r>
      <w:r w:rsidR="00F321CC">
        <w:rPr>
          <w:rFonts w:asciiTheme="majorHAnsi" w:hAnsiTheme="majorHAnsi"/>
          <w:sz w:val="22"/>
        </w:rPr>
        <w:t>a significant,</w:t>
      </w:r>
      <w:r w:rsidR="00DA2E09" w:rsidRPr="00AE702C">
        <w:rPr>
          <w:rFonts w:asciiTheme="majorHAnsi" w:hAnsiTheme="majorHAnsi"/>
          <w:sz w:val="22"/>
        </w:rPr>
        <w:t xml:space="preserve"> although not the dominant</w:t>
      </w:r>
      <w:r w:rsidR="00F321CC">
        <w:rPr>
          <w:rFonts w:asciiTheme="majorHAnsi" w:hAnsiTheme="majorHAnsi"/>
          <w:sz w:val="22"/>
        </w:rPr>
        <w:t>,</w:t>
      </w:r>
      <w:r w:rsidR="00DA2E09" w:rsidRPr="00AE702C">
        <w:rPr>
          <w:rFonts w:asciiTheme="majorHAnsi" w:hAnsiTheme="majorHAnsi"/>
          <w:sz w:val="22"/>
        </w:rPr>
        <w:t xml:space="preserve"> challenge for the wind industry, </w:t>
      </w:r>
      <w:r w:rsidR="00F321CC">
        <w:rPr>
          <w:rFonts w:asciiTheme="majorHAnsi" w:hAnsiTheme="majorHAnsi"/>
          <w:sz w:val="22"/>
        </w:rPr>
        <w:t xml:space="preserve">as </w:t>
      </w:r>
      <w:r w:rsidR="00DA2E09" w:rsidRPr="00AE702C">
        <w:rPr>
          <w:rFonts w:asciiTheme="majorHAnsi" w:hAnsiTheme="majorHAnsi"/>
          <w:sz w:val="22"/>
        </w:rPr>
        <w:t>local</w:t>
      </w:r>
      <w:r w:rsidR="00F321CC">
        <w:rPr>
          <w:rFonts w:asciiTheme="majorHAnsi" w:hAnsiTheme="majorHAnsi"/>
          <w:sz w:val="22"/>
        </w:rPr>
        <w:t xml:space="preserve"> </w:t>
      </w:r>
      <w:r w:rsidR="00DA2E09" w:rsidRPr="00AE702C">
        <w:rPr>
          <w:rFonts w:asciiTheme="majorHAnsi" w:hAnsiTheme="majorHAnsi"/>
          <w:sz w:val="22"/>
        </w:rPr>
        <w:t xml:space="preserve">content requirements </w:t>
      </w:r>
      <w:r w:rsidR="00F321CC">
        <w:rPr>
          <w:rFonts w:asciiTheme="majorHAnsi" w:hAnsiTheme="majorHAnsi"/>
          <w:sz w:val="22"/>
        </w:rPr>
        <w:t>are</w:t>
      </w:r>
      <w:r w:rsidR="00DA2E09" w:rsidRPr="00AE702C">
        <w:rPr>
          <w:rFonts w:asciiTheme="majorHAnsi" w:hAnsiTheme="majorHAnsi"/>
          <w:sz w:val="22"/>
        </w:rPr>
        <w:t xml:space="preserve"> the top concern. In spite of the industry’s existing excess capacity, these barriers prevent it from operating at full capacity, impeding economies of scale and </w:t>
      </w:r>
      <w:r w:rsidR="00CF4695">
        <w:rPr>
          <w:rFonts w:asciiTheme="majorHAnsi" w:hAnsiTheme="majorHAnsi"/>
          <w:sz w:val="22"/>
        </w:rPr>
        <w:t xml:space="preserve">preventing the </w:t>
      </w:r>
      <w:r w:rsidR="00DA2E09" w:rsidRPr="00AE702C">
        <w:rPr>
          <w:rFonts w:asciiTheme="majorHAnsi" w:hAnsiTheme="majorHAnsi"/>
          <w:sz w:val="22"/>
        </w:rPr>
        <w:t>reduction of the costs of wind energy. In order to achieve trade liberalization in energy, he suggested that</w:t>
      </w:r>
      <w:r w:rsidR="00CF4695">
        <w:rPr>
          <w:rFonts w:asciiTheme="majorHAnsi" w:hAnsiTheme="majorHAnsi"/>
          <w:sz w:val="22"/>
        </w:rPr>
        <w:t>,</w:t>
      </w:r>
      <w:r w:rsidR="00DA2E09" w:rsidRPr="00AE702C">
        <w:rPr>
          <w:rFonts w:asciiTheme="majorHAnsi" w:hAnsiTheme="majorHAnsi"/>
          <w:sz w:val="22"/>
        </w:rPr>
        <w:t xml:space="preserve"> instead of the Doha Round, an all-encompassing cros</w:t>
      </w:r>
      <w:r w:rsidR="00CF4695">
        <w:rPr>
          <w:rFonts w:asciiTheme="majorHAnsi" w:hAnsiTheme="majorHAnsi"/>
          <w:sz w:val="22"/>
        </w:rPr>
        <w:t>s-industry initiative and sector</w:t>
      </w:r>
      <w:r w:rsidR="00DA2E09" w:rsidRPr="00AE702C">
        <w:rPr>
          <w:rFonts w:asciiTheme="majorHAnsi" w:hAnsiTheme="majorHAnsi"/>
          <w:sz w:val="22"/>
        </w:rPr>
        <w:t>al approach such as the one used in the Information Technology Agreement (ITA) 1996</w:t>
      </w:r>
      <w:r w:rsidR="00CF4695">
        <w:rPr>
          <w:rFonts w:asciiTheme="majorHAnsi" w:hAnsiTheme="majorHAnsi"/>
          <w:sz w:val="22"/>
        </w:rPr>
        <w:t>,</w:t>
      </w:r>
      <w:r w:rsidR="00DA2E09" w:rsidRPr="00AE702C">
        <w:rPr>
          <w:rFonts w:asciiTheme="majorHAnsi" w:hAnsiTheme="majorHAnsi"/>
          <w:sz w:val="22"/>
        </w:rPr>
        <w:t xml:space="preserve"> would be more promising for green energy.</w:t>
      </w:r>
    </w:p>
    <w:p w:rsidR="00DA2E09" w:rsidRPr="00AE702C" w:rsidRDefault="00DA2E09" w:rsidP="00DA2E09">
      <w:pPr>
        <w:pStyle w:val="NormalWeb"/>
        <w:spacing w:before="2" w:after="2"/>
        <w:rPr>
          <w:rFonts w:asciiTheme="majorHAnsi" w:hAnsiTheme="majorHAnsi"/>
          <w:sz w:val="22"/>
        </w:rPr>
      </w:pPr>
    </w:p>
    <w:p w:rsidR="00AE702C" w:rsidRPr="00AE702C" w:rsidRDefault="00AE702C" w:rsidP="00AE702C">
      <w:pPr>
        <w:tabs>
          <w:tab w:val="left" w:pos="6240"/>
        </w:tabs>
        <w:rPr>
          <w:rFonts w:asciiTheme="majorHAnsi" w:hAnsiTheme="majorHAnsi"/>
          <w:i/>
          <w:sz w:val="22"/>
          <w:lang w:val="en-GB"/>
        </w:rPr>
      </w:pPr>
      <w:r w:rsidRPr="00AE702C">
        <w:rPr>
          <w:rFonts w:asciiTheme="majorHAnsi" w:hAnsiTheme="majorHAnsi"/>
          <w:i/>
          <w:sz w:val="22"/>
        </w:rPr>
        <w:t>(c) Mr Emmanuel Guérin, Director, Climate Programme, IDDRI</w:t>
      </w:r>
    </w:p>
    <w:p w:rsidR="00AE702C" w:rsidRDefault="00AE702C" w:rsidP="00DA2E09">
      <w:pPr>
        <w:pStyle w:val="NormalWeb"/>
        <w:spacing w:before="2" w:after="2"/>
        <w:rPr>
          <w:rFonts w:asciiTheme="majorHAnsi" w:hAnsiTheme="majorHAnsi"/>
          <w:sz w:val="22"/>
        </w:rPr>
      </w:pPr>
    </w:p>
    <w:p w:rsidR="00AE702C" w:rsidRDefault="00AE702C" w:rsidP="00DA2E09">
      <w:pPr>
        <w:pStyle w:val="NormalWeb"/>
        <w:spacing w:before="2" w:after="2"/>
        <w:rPr>
          <w:rFonts w:asciiTheme="majorHAnsi" w:hAnsiTheme="majorHAnsi"/>
          <w:sz w:val="22"/>
        </w:rPr>
      </w:pPr>
      <w:r>
        <w:rPr>
          <w:rFonts w:asciiTheme="majorHAnsi" w:hAnsiTheme="majorHAnsi"/>
          <w:sz w:val="22"/>
        </w:rPr>
        <w:t>Mr</w:t>
      </w:r>
      <w:r w:rsidR="00DA2E09" w:rsidRPr="00AE702C">
        <w:rPr>
          <w:rFonts w:asciiTheme="majorHAnsi" w:hAnsiTheme="majorHAnsi"/>
          <w:sz w:val="22"/>
        </w:rPr>
        <w:t xml:space="preserve"> Guérin discussed the ambivalent role trade can perform in promoting green energy, depending on whether trade and climate policies are coordinated. He distinguished demand-pull and technology-push policies, showing how countries distributed policy differently between both models and its effectiveness in achieving desired goals. </w:t>
      </w:r>
    </w:p>
    <w:p w:rsidR="00AE702C" w:rsidRDefault="00AE702C" w:rsidP="00DA2E09">
      <w:pPr>
        <w:pStyle w:val="NormalWeb"/>
        <w:spacing w:before="2" w:after="2"/>
        <w:rPr>
          <w:rFonts w:asciiTheme="majorHAnsi" w:hAnsiTheme="majorHAnsi"/>
          <w:sz w:val="22"/>
        </w:rPr>
      </w:pPr>
    </w:p>
    <w:p w:rsidR="00AE702C" w:rsidRPr="00AE702C" w:rsidRDefault="00AE702C" w:rsidP="00AE702C">
      <w:pPr>
        <w:rPr>
          <w:rFonts w:asciiTheme="majorHAnsi" w:hAnsiTheme="majorHAnsi"/>
          <w:sz w:val="22"/>
          <w:lang w:val="en-GB"/>
        </w:rPr>
      </w:pPr>
      <w:r>
        <w:rPr>
          <w:rFonts w:asciiTheme="majorHAnsi" w:hAnsiTheme="majorHAnsi"/>
          <w:sz w:val="22"/>
        </w:rPr>
        <w:t xml:space="preserve">(d) </w:t>
      </w:r>
      <w:r w:rsidRPr="00AE702C">
        <w:rPr>
          <w:rFonts w:asciiTheme="majorHAnsi" w:hAnsiTheme="majorHAnsi"/>
          <w:sz w:val="22"/>
          <w:lang w:val="en-GB"/>
        </w:rPr>
        <w:t>Mr Ricardo Melendez-Ortiz, Chief Executive, International Centre for Trade and Sustainable Development (ICTSD)</w:t>
      </w:r>
    </w:p>
    <w:p w:rsidR="00DA2E09" w:rsidRPr="00AE702C" w:rsidRDefault="00DA2E09" w:rsidP="00DA2E09">
      <w:pPr>
        <w:pStyle w:val="NormalWeb"/>
        <w:spacing w:before="2" w:after="2"/>
        <w:rPr>
          <w:rFonts w:asciiTheme="majorHAnsi" w:hAnsiTheme="majorHAnsi"/>
          <w:sz w:val="22"/>
        </w:rPr>
      </w:pPr>
    </w:p>
    <w:p w:rsidR="00AE702C" w:rsidRPr="00AE702C" w:rsidRDefault="00DA2E09" w:rsidP="00DA2E09">
      <w:pPr>
        <w:pStyle w:val="NormalWeb"/>
        <w:spacing w:before="2" w:after="2"/>
        <w:rPr>
          <w:rFonts w:asciiTheme="majorHAnsi" w:hAnsiTheme="majorHAnsi"/>
          <w:sz w:val="22"/>
        </w:rPr>
      </w:pPr>
      <w:r w:rsidRPr="00AE702C">
        <w:rPr>
          <w:rFonts w:asciiTheme="majorHAnsi" w:hAnsiTheme="majorHAnsi"/>
          <w:sz w:val="22"/>
        </w:rPr>
        <w:t>Ricardo Melendez-Ortiz, Chief Executive of ICTSD, touched upon the problem of access to modern forms of energy and the importance of trade in providing it. In order to scale up the use of renewable energy, he said that policies would need to foster green technology and increase its manufacturing capacity, by means of subsidies, technical standards, local-content requirements</w:t>
      </w:r>
      <w:r w:rsidR="00CF4695">
        <w:rPr>
          <w:rFonts w:asciiTheme="majorHAnsi" w:hAnsiTheme="majorHAnsi"/>
          <w:sz w:val="22"/>
        </w:rPr>
        <w:t xml:space="preserve"> and</w:t>
      </w:r>
      <w:r w:rsidRPr="00AE702C">
        <w:rPr>
          <w:rFonts w:asciiTheme="majorHAnsi" w:hAnsiTheme="majorHAnsi"/>
          <w:sz w:val="22"/>
        </w:rPr>
        <w:t xml:space="preserve"> technology transfer. Finally, he commented on the different possibilities for a framework agreement for energy proposed by the ICTSD, following either an ITA</w:t>
      </w:r>
      <w:r w:rsidR="00CF4695">
        <w:rPr>
          <w:rFonts w:asciiTheme="majorHAnsi" w:hAnsiTheme="majorHAnsi"/>
          <w:sz w:val="22"/>
        </w:rPr>
        <w:t>-</w:t>
      </w:r>
      <w:r w:rsidRPr="00AE702C">
        <w:rPr>
          <w:rFonts w:asciiTheme="majorHAnsi" w:hAnsiTheme="majorHAnsi"/>
          <w:sz w:val="22"/>
        </w:rPr>
        <w:t>type or GTA</w:t>
      </w:r>
      <w:r w:rsidR="00CF4695">
        <w:rPr>
          <w:rFonts w:asciiTheme="majorHAnsi" w:hAnsiTheme="majorHAnsi"/>
          <w:sz w:val="22"/>
        </w:rPr>
        <w:t>-</w:t>
      </w:r>
      <w:r w:rsidRPr="00AE702C">
        <w:rPr>
          <w:rFonts w:asciiTheme="majorHAnsi" w:hAnsiTheme="majorHAnsi"/>
          <w:sz w:val="22"/>
        </w:rPr>
        <w:t>type agreement within the WTO framework, or a plurilateral agreement outside the WTO framework, with different consequences on membership and benefit sharing.</w:t>
      </w:r>
    </w:p>
    <w:p w:rsidR="00DA2E09" w:rsidRPr="00AE702C" w:rsidRDefault="00DA2E09" w:rsidP="00DA2E09">
      <w:pPr>
        <w:pStyle w:val="NormalWeb"/>
        <w:spacing w:before="2" w:after="2"/>
        <w:rPr>
          <w:rFonts w:asciiTheme="majorHAnsi" w:hAnsiTheme="majorHAnsi"/>
          <w:sz w:val="22"/>
        </w:rPr>
      </w:pPr>
    </w:p>
    <w:p w:rsidR="00AE702C" w:rsidRPr="00AE702C" w:rsidRDefault="00AE702C" w:rsidP="00DA2E09">
      <w:pPr>
        <w:pStyle w:val="NormalWeb"/>
        <w:spacing w:before="2" w:after="2"/>
        <w:rPr>
          <w:rFonts w:asciiTheme="majorHAnsi" w:hAnsiTheme="majorHAnsi"/>
          <w:b/>
          <w:sz w:val="22"/>
        </w:rPr>
      </w:pPr>
      <w:r w:rsidRPr="00AE702C">
        <w:rPr>
          <w:rFonts w:asciiTheme="majorHAnsi" w:hAnsiTheme="majorHAnsi"/>
          <w:b/>
          <w:sz w:val="22"/>
        </w:rPr>
        <w:t>2. Conclusions</w:t>
      </w:r>
    </w:p>
    <w:p w:rsidR="00AE702C" w:rsidRDefault="00AE702C" w:rsidP="00DA2E09">
      <w:pPr>
        <w:pStyle w:val="NormalWeb"/>
        <w:spacing w:before="2" w:after="2"/>
        <w:rPr>
          <w:rFonts w:asciiTheme="majorHAnsi" w:hAnsiTheme="majorHAnsi"/>
          <w:sz w:val="22"/>
        </w:rPr>
      </w:pPr>
    </w:p>
    <w:p w:rsidR="00DA2E09" w:rsidRPr="00AE702C" w:rsidRDefault="00DA2E09" w:rsidP="00DA2E09">
      <w:pPr>
        <w:pStyle w:val="NormalWeb"/>
        <w:spacing w:before="2" w:after="2"/>
        <w:rPr>
          <w:rFonts w:asciiTheme="majorHAnsi" w:hAnsiTheme="majorHAnsi"/>
          <w:sz w:val="22"/>
        </w:rPr>
      </w:pPr>
      <w:r w:rsidRPr="00AE702C">
        <w:rPr>
          <w:rFonts w:asciiTheme="majorHAnsi" w:hAnsiTheme="majorHAnsi"/>
          <w:sz w:val="22"/>
        </w:rPr>
        <w:t xml:space="preserve">The moderator concluded the session by stressing the convergence of the speakers on the fact that the actual framework does not provide sufficient support to the move towards renewable energy. </w:t>
      </w:r>
      <w:r w:rsidR="00504323">
        <w:rPr>
          <w:rFonts w:asciiTheme="majorHAnsi" w:hAnsiTheme="majorHAnsi"/>
          <w:sz w:val="22"/>
        </w:rPr>
        <w:t>S</w:t>
      </w:r>
      <w:r w:rsidRPr="00AE702C">
        <w:rPr>
          <w:rFonts w:asciiTheme="majorHAnsi" w:hAnsiTheme="majorHAnsi"/>
          <w:sz w:val="22"/>
        </w:rPr>
        <w:t xml:space="preserve">he </w:t>
      </w:r>
      <w:r w:rsidR="00504323">
        <w:rPr>
          <w:rFonts w:asciiTheme="majorHAnsi" w:hAnsiTheme="majorHAnsi"/>
          <w:sz w:val="22"/>
        </w:rPr>
        <w:t>underlined</w:t>
      </w:r>
      <w:r w:rsidRPr="00AE702C">
        <w:rPr>
          <w:rFonts w:asciiTheme="majorHAnsi" w:hAnsiTheme="majorHAnsi"/>
          <w:sz w:val="22"/>
        </w:rPr>
        <w:t xml:space="preserve"> that countries need a forum to discuss and converge to clean energy, </w:t>
      </w:r>
      <w:r w:rsidR="00504323">
        <w:rPr>
          <w:rFonts w:asciiTheme="majorHAnsi" w:hAnsiTheme="majorHAnsi"/>
          <w:sz w:val="22"/>
        </w:rPr>
        <w:t>through which</w:t>
      </w:r>
      <w:r w:rsidRPr="00AE702C">
        <w:rPr>
          <w:rFonts w:asciiTheme="majorHAnsi" w:hAnsiTheme="majorHAnsi"/>
          <w:sz w:val="22"/>
        </w:rPr>
        <w:t xml:space="preserve"> every country </w:t>
      </w:r>
      <w:r w:rsidR="00504323">
        <w:rPr>
          <w:rFonts w:asciiTheme="majorHAnsi" w:hAnsiTheme="majorHAnsi"/>
          <w:sz w:val="22"/>
        </w:rPr>
        <w:t>can</w:t>
      </w:r>
      <w:r w:rsidRPr="00AE702C">
        <w:rPr>
          <w:rFonts w:asciiTheme="majorHAnsi" w:hAnsiTheme="majorHAnsi"/>
          <w:sz w:val="22"/>
        </w:rPr>
        <w:t xml:space="preserve"> engage without the fear of trade sanctions.</w:t>
      </w:r>
    </w:p>
    <w:p w:rsidR="00AE702C" w:rsidRPr="00AE702C" w:rsidRDefault="00AE702C">
      <w:pPr>
        <w:rPr>
          <w:rFonts w:asciiTheme="majorHAnsi" w:hAnsiTheme="majorHAnsi"/>
          <w:sz w:val="22"/>
        </w:rPr>
      </w:pPr>
    </w:p>
    <w:sectPr w:rsidR="00AE702C" w:rsidRPr="00AE702C" w:rsidSect="00AE702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223AF"/>
    <w:multiLevelType w:val="hybridMultilevel"/>
    <w:tmpl w:val="61F43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C74A6"/>
    <w:rsid w:val="00135B3C"/>
    <w:rsid w:val="00136154"/>
    <w:rsid w:val="00461D2E"/>
    <w:rsid w:val="00504323"/>
    <w:rsid w:val="00625299"/>
    <w:rsid w:val="00772AFD"/>
    <w:rsid w:val="00AE702C"/>
    <w:rsid w:val="00BB6577"/>
    <w:rsid w:val="00CF4695"/>
    <w:rsid w:val="00D55943"/>
    <w:rsid w:val="00D67F15"/>
    <w:rsid w:val="00DA2E09"/>
    <w:rsid w:val="00EC74A6"/>
    <w:rsid w:val="00F321CC"/>
    <w:rsid w:val="00F72051"/>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4A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DA2E09"/>
    <w:pPr>
      <w:spacing w:beforeLines="1" w:afterLines="1"/>
    </w:pPr>
    <w:rPr>
      <w:rFonts w:ascii="Times" w:hAnsi="Times" w:cs="Times New Roman"/>
      <w:sz w:val="20"/>
      <w:szCs w:val="20"/>
    </w:rPr>
  </w:style>
  <w:style w:type="paragraph" w:styleId="ListParagraph">
    <w:name w:val="List Paragraph"/>
    <w:basedOn w:val="Normal"/>
    <w:uiPriority w:val="34"/>
    <w:qFormat/>
    <w:rsid w:val="00AE702C"/>
    <w:pPr>
      <w:ind w:left="720"/>
      <w:contextualSpacing/>
    </w:pPr>
  </w:style>
</w:styles>
</file>

<file path=word/webSettings.xml><?xml version="1.0" encoding="utf-8"?>
<w:webSettings xmlns:r="http://schemas.openxmlformats.org/officeDocument/2006/relationships" xmlns:w="http://schemas.openxmlformats.org/wordprocessingml/2006/main">
  <w:divs>
    <w:div w:id="11616966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840</Words>
  <Characters>4789</Characters>
  <Application>Microsoft Macintosh Word</Application>
  <DocSecurity>0</DocSecurity>
  <Lines>39</Lines>
  <Paragraphs>9</Paragraphs>
  <ScaleCrop>false</ScaleCrop>
  <Company>WTO</Company>
  <LinksUpToDate>false</LinksUpToDate>
  <CharactersWithSpaces>5881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Swain</dc:creator>
  <cp:keywords/>
  <cp:lastModifiedBy>Helen Swain</cp:lastModifiedBy>
  <cp:revision>3</cp:revision>
  <dcterms:created xsi:type="dcterms:W3CDTF">2011-11-28T15:32:00Z</dcterms:created>
  <dcterms:modified xsi:type="dcterms:W3CDTF">2011-12-06T16:37:00Z</dcterms:modified>
</cp:coreProperties>
</file>