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F977D9" w14:textId="09216B7F" w:rsidR="00E50242" w:rsidRPr="001A6A7F" w:rsidRDefault="00E50242" w:rsidP="001A6A7F">
      <w:pPr>
        <w:spacing w:after="480"/>
        <w:jc w:val="center"/>
        <w:rPr>
          <w:rFonts w:eastAsia="Times New Roman" w:cs="Times New Roman"/>
          <w:color w:val="000000"/>
          <w:szCs w:val="18"/>
          <w:lang w:eastAsia="en-GB"/>
        </w:rPr>
      </w:pPr>
      <w:r w:rsidRPr="00E50242">
        <w:rPr>
          <w:rFonts w:eastAsia="Times New Roman" w:cs="Times New Roman"/>
          <w:b/>
          <w:color w:val="000000"/>
          <w:szCs w:val="18"/>
          <w:lang w:eastAsia="en-GB"/>
        </w:rPr>
        <w:t xml:space="preserve">ACUERDO RELATIVO A LA APLICACIÓN DEL ARTÍCULO VI </w:t>
      </w:r>
      <w:r w:rsidR="001A6A7F" w:rsidRPr="001A6A7F">
        <w:rPr>
          <w:rFonts w:eastAsia="Times New Roman" w:cs="Times New Roman"/>
          <w:b/>
          <w:color w:val="000000"/>
          <w:szCs w:val="18"/>
          <w:lang w:eastAsia="en-GB"/>
        </w:rPr>
        <w:br/>
      </w:r>
      <w:r w:rsidRPr="00E50242">
        <w:rPr>
          <w:rFonts w:eastAsia="Times New Roman" w:cs="Times New Roman"/>
          <w:b/>
          <w:color w:val="000000"/>
          <w:szCs w:val="18"/>
          <w:lang w:eastAsia="en-GB"/>
        </w:rPr>
        <w:t xml:space="preserve">DEL ACUERDO GENERAL SOBRE ARANCELES </w:t>
      </w:r>
      <w:r w:rsidR="001A6A7F" w:rsidRPr="001A6A7F">
        <w:rPr>
          <w:rFonts w:eastAsia="Times New Roman" w:cs="Times New Roman"/>
          <w:b/>
          <w:color w:val="000000"/>
          <w:szCs w:val="18"/>
          <w:lang w:eastAsia="en-GB"/>
        </w:rPr>
        <w:br/>
      </w:r>
      <w:r w:rsidRPr="00E50242">
        <w:rPr>
          <w:rFonts w:eastAsia="Times New Roman" w:cs="Times New Roman"/>
          <w:b/>
          <w:color w:val="000000"/>
          <w:szCs w:val="18"/>
          <w:lang w:eastAsia="en-GB"/>
        </w:rPr>
        <w:t>ADUANEROS Y COMERCIO DE 1994</w:t>
      </w:r>
    </w:p>
    <w:p w14:paraId="26DDB44D" w14:textId="77777777" w:rsidR="00E50242" w:rsidRPr="001A6A7F" w:rsidRDefault="00E50242" w:rsidP="006100E4">
      <w:pPr>
        <w:spacing w:after="240"/>
        <w:rPr>
          <w:rFonts w:eastAsia="Times New Roman" w:cs="Times New Roman"/>
          <w:color w:val="000000"/>
          <w:szCs w:val="18"/>
          <w:lang w:eastAsia="en-GB"/>
        </w:rPr>
      </w:pPr>
      <w:r w:rsidRPr="00E50242">
        <w:rPr>
          <w:rFonts w:eastAsia="Times New Roman" w:cs="Times New Roman"/>
          <w:i/>
          <w:color w:val="000000"/>
          <w:szCs w:val="18"/>
          <w:lang w:eastAsia="en-GB"/>
        </w:rPr>
        <w:t>Los Miembros convienen</w:t>
      </w:r>
      <w:r w:rsidRPr="00E50242">
        <w:rPr>
          <w:lang w:eastAsia="en-GB"/>
        </w:rPr>
        <w:t xml:space="preserve"> </w:t>
      </w:r>
      <w:r w:rsidRPr="00E50242">
        <w:rPr>
          <w:rFonts w:eastAsia="Times New Roman" w:cs="Times New Roman"/>
          <w:color w:val="000000"/>
          <w:szCs w:val="18"/>
          <w:lang w:eastAsia="en-GB"/>
        </w:rPr>
        <w:t>en lo siguiente:</w:t>
      </w:r>
    </w:p>
    <w:p w14:paraId="0B327BF8" w14:textId="77777777" w:rsidR="00E50242" w:rsidRPr="006C4965" w:rsidRDefault="00E50242" w:rsidP="00E50242">
      <w:pPr>
        <w:spacing w:after="240"/>
        <w:jc w:val="center"/>
        <w:rPr>
          <w:rFonts w:eastAsia="Times New Roman" w:cs="Times New Roman"/>
          <w:color w:val="000000"/>
          <w:szCs w:val="18"/>
          <w:lang w:eastAsia="en-GB"/>
        </w:rPr>
      </w:pPr>
      <w:r w:rsidRPr="006C4965">
        <w:rPr>
          <w:rFonts w:eastAsia="Times New Roman" w:cs="Times New Roman"/>
          <w:color w:val="000000"/>
          <w:szCs w:val="18"/>
          <w:lang w:eastAsia="en-GB"/>
        </w:rPr>
        <w:t>PARTE I</w:t>
      </w:r>
    </w:p>
    <w:p w14:paraId="3740518F" w14:textId="77777777" w:rsidR="00E50242" w:rsidRPr="006C4965" w:rsidRDefault="00E50242" w:rsidP="00E50242">
      <w:pPr>
        <w:spacing w:after="240"/>
        <w:jc w:val="center"/>
        <w:rPr>
          <w:rFonts w:eastAsia="Times New Roman" w:cs="Times New Roman"/>
          <w:color w:val="000000"/>
          <w:szCs w:val="18"/>
          <w:lang w:eastAsia="en-GB"/>
        </w:rPr>
      </w:pPr>
      <w:r w:rsidRPr="006C4965">
        <w:rPr>
          <w:rFonts w:eastAsia="Times New Roman" w:cs="Times New Roman"/>
          <w:i/>
          <w:color w:val="000000"/>
          <w:szCs w:val="18"/>
          <w:lang w:eastAsia="en-GB"/>
        </w:rPr>
        <w:t>Artículo 1</w:t>
      </w:r>
    </w:p>
    <w:p w14:paraId="55BB25FD" w14:textId="77777777" w:rsidR="00E50242" w:rsidRPr="001A6A7F" w:rsidRDefault="00E50242" w:rsidP="00E50242">
      <w:pPr>
        <w:spacing w:after="240"/>
        <w:jc w:val="center"/>
        <w:rPr>
          <w:rFonts w:eastAsia="Times New Roman" w:cs="Times New Roman"/>
          <w:color w:val="000000"/>
          <w:szCs w:val="18"/>
          <w:lang w:eastAsia="en-GB"/>
        </w:rPr>
      </w:pPr>
      <w:r w:rsidRPr="00E50242">
        <w:rPr>
          <w:rFonts w:eastAsia="Times New Roman" w:cs="Times New Roman"/>
          <w:i/>
          <w:color w:val="000000"/>
          <w:szCs w:val="18"/>
          <w:lang w:eastAsia="en-GB"/>
        </w:rPr>
        <w:t>Principios</w:t>
      </w:r>
    </w:p>
    <w:p w14:paraId="1E8D903B" w14:textId="25779AC6"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ab/>
        <w:t>Sólo se aplicarán medidas antidumping en las circunstancias previstas en el artículo VI del</w:t>
      </w:r>
      <w:r w:rsidR="006100E4">
        <w:rPr>
          <w:rFonts w:eastAsia="Times New Roman" w:cs="Times New Roman"/>
          <w:color w:val="000000"/>
          <w:szCs w:val="18"/>
          <w:lang w:eastAsia="en-GB"/>
        </w:rPr>
        <w:t> </w:t>
      </w:r>
      <w:r w:rsidRPr="00E50242">
        <w:rPr>
          <w:rFonts w:eastAsia="Times New Roman" w:cs="Times New Roman"/>
          <w:color w:val="000000"/>
          <w:szCs w:val="18"/>
          <w:lang w:eastAsia="en-GB"/>
        </w:rPr>
        <w:t>GATT de 1994 y en virtud de investigaciones iniciadas</w:t>
      </w:r>
      <w:r w:rsidRPr="00E50242">
        <w:rPr>
          <w:rFonts w:eastAsia="Times New Roman" w:cs="Times New Roman"/>
          <w:color w:val="000000"/>
          <w:szCs w:val="18"/>
          <w:vertAlign w:val="superscript"/>
          <w:lang w:eastAsia="en-GB"/>
        </w:rPr>
        <w:footnoteReference w:id="1"/>
      </w:r>
      <w:r w:rsidRPr="00E50242">
        <w:rPr>
          <w:rFonts w:eastAsia="Times New Roman" w:cs="Times New Roman"/>
          <w:color w:val="000000"/>
          <w:szCs w:val="18"/>
          <w:lang w:eastAsia="en-GB"/>
        </w:rPr>
        <w:t xml:space="preserve"> y realizadas de conformidad con las disposiciones del presente Acuerdo.</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Las siguientes disposiciones regirán la aplicación del artículo VI del GATT de 1994 siempre que se tomen medidas de conformidad con las leyes o reglamentos antidumping.</w:t>
      </w:r>
    </w:p>
    <w:p w14:paraId="1595E714" w14:textId="77777777" w:rsidR="00E50242" w:rsidRPr="006C4965" w:rsidRDefault="00E50242" w:rsidP="006C54D4">
      <w:pPr>
        <w:spacing w:after="240"/>
        <w:jc w:val="center"/>
        <w:rPr>
          <w:rFonts w:eastAsia="Times New Roman" w:cs="Times New Roman"/>
          <w:color w:val="000000"/>
          <w:szCs w:val="18"/>
          <w:lang w:eastAsia="en-GB"/>
        </w:rPr>
      </w:pPr>
      <w:r w:rsidRPr="006C4965">
        <w:rPr>
          <w:rFonts w:eastAsia="Times New Roman" w:cs="Times New Roman"/>
          <w:i/>
          <w:color w:val="000000"/>
          <w:szCs w:val="18"/>
          <w:lang w:eastAsia="en-GB"/>
        </w:rPr>
        <w:t>Artículo 2</w:t>
      </w:r>
    </w:p>
    <w:p w14:paraId="3B5E1582" w14:textId="77777777" w:rsidR="00E50242" w:rsidRPr="001A6A7F" w:rsidRDefault="00E50242" w:rsidP="00E50242">
      <w:pPr>
        <w:spacing w:after="240"/>
        <w:jc w:val="center"/>
        <w:rPr>
          <w:rFonts w:eastAsia="Times New Roman" w:cs="Times New Roman"/>
          <w:color w:val="000000"/>
          <w:szCs w:val="18"/>
          <w:lang w:eastAsia="en-GB"/>
        </w:rPr>
      </w:pPr>
      <w:r w:rsidRPr="00E50242">
        <w:rPr>
          <w:rFonts w:eastAsia="Times New Roman" w:cs="Times New Roman"/>
          <w:i/>
          <w:color w:val="000000"/>
          <w:szCs w:val="18"/>
          <w:lang w:eastAsia="en-GB"/>
        </w:rPr>
        <w:t>Determinación de la existencia de dumping</w:t>
      </w:r>
    </w:p>
    <w:p w14:paraId="7CE05D78" w14:textId="77777777"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2.1</w:t>
      </w:r>
      <w:r w:rsidRPr="00E50242">
        <w:rPr>
          <w:rFonts w:eastAsia="Times New Roman" w:cs="Times New Roman"/>
          <w:color w:val="000000"/>
          <w:szCs w:val="18"/>
          <w:lang w:eastAsia="en-GB"/>
        </w:rPr>
        <w:tab/>
        <w:t xml:space="preserve">A los efectos del presente Acuerdo, se considerará que un producto es objeto de dumping, es decir, que se introduce en el mercado de otro país a un precio inferior a su valor normal, cuando su precio de exportación al exportarse de un país a otro sea menor que el precio comparable, en el curso de operaciones comerciales normales, de un producto similar destinado al consumo en el país </w:t>
      </w:r>
      <w:r w:rsidRPr="00E50242">
        <w:rPr>
          <w:rFonts w:eastAsia="Times New Roman" w:cs="Times New Roman"/>
          <w:color w:val="000000"/>
          <w:szCs w:val="18"/>
          <w:lang w:eastAsia="en-GB"/>
        </w:rPr>
        <w:t>exportador.</w:t>
      </w:r>
    </w:p>
    <w:p w14:paraId="2207DD4A" w14:textId="7718D3E8"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2.2</w:t>
      </w:r>
      <w:r w:rsidRPr="00E50242">
        <w:rPr>
          <w:rFonts w:eastAsia="Times New Roman" w:cs="Times New Roman"/>
          <w:color w:val="000000"/>
          <w:szCs w:val="18"/>
          <w:lang w:eastAsia="en-GB"/>
        </w:rPr>
        <w:tab/>
        <w:t>Cuando el producto similar no sea objeto de ventas en el curso de operaciones comerciales normales en el mercado interno del país exportador o cuando, a causa de una situación especial del mercado o del bajo volumen de las ventas en el mercado interno del país exportador</w:t>
      </w:r>
      <w:r w:rsidRPr="00E50242">
        <w:rPr>
          <w:rFonts w:eastAsia="Times New Roman" w:cs="Times New Roman"/>
          <w:color w:val="000000"/>
          <w:szCs w:val="18"/>
          <w:vertAlign w:val="superscript"/>
          <w:lang w:eastAsia="en-GB"/>
        </w:rPr>
        <w:footnoteReference w:id="2"/>
      </w:r>
      <w:r w:rsidRPr="00E50242">
        <w:rPr>
          <w:rFonts w:eastAsia="Times New Roman" w:cs="Times New Roman"/>
          <w:color w:val="000000"/>
          <w:szCs w:val="18"/>
          <w:lang w:eastAsia="en-GB"/>
        </w:rPr>
        <w:t xml:space="preserve">, tales ventas no permitan </w:t>
      </w:r>
      <w:r w:rsidRPr="00E50242">
        <w:rPr>
          <w:rFonts w:eastAsia="Times New Roman" w:cs="Times New Roman"/>
          <w:color w:val="000000"/>
          <w:szCs w:val="18"/>
          <w:lang w:eastAsia="en-GB"/>
        </w:rPr>
        <w:t>una comparación adecuada, el margen de dumping se determinará mediante comparación con un precio comparable del producto similar cuando éste se exporte a un tercer país apropiado, a condición de que este precio sea representativo, o con el costo de producción en el país de origen más una cantidad razonable por concepto de gastos administrativos, de venta y de carácter general así como por concepto de beneficios.</w:t>
      </w:r>
    </w:p>
    <w:p w14:paraId="67FBB4F5" w14:textId="39E45F87" w:rsidR="00E50242" w:rsidRPr="001A6A7F" w:rsidRDefault="00E50242" w:rsidP="00FC5DCD">
      <w:pPr>
        <w:spacing w:after="240"/>
        <w:ind w:left="1418" w:hanging="851"/>
        <w:rPr>
          <w:rFonts w:eastAsia="Times New Roman" w:cs="Times New Roman"/>
          <w:color w:val="000000"/>
          <w:szCs w:val="18"/>
          <w:lang w:eastAsia="en-GB"/>
        </w:rPr>
      </w:pPr>
      <w:r w:rsidRPr="00E50242">
        <w:rPr>
          <w:rFonts w:eastAsia="Times New Roman" w:cs="Times New Roman"/>
          <w:color w:val="000000"/>
          <w:szCs w:val="18"/>
          <w:lang w:eastAsia="en-GB"/>
        </w:rPr>
        <w:t>2.2.1</w:t>
      </w:r>
      <w:r w:rsidRPr="00E50242">
        <w:rPr>
          <w:rFonts w:eastAsia="Times New Roman" w:cs="Times New Roman"/>
          <w:color w:val="000000"/>
          <w:szCs w:val="18"/>
          <w:lang w:eastAsia="en-GB"/>
        </w:rPr>
        <w:tab/>
        <w:t>Las ventas del producto similar en el mercado interno del país exportador o las ventas a un tercer país a precios inferiores a los costos unitarios (fijos y variables) de producción más los gastos administrativos, de venta y de carácter general podrán considerarse no realizadas en el curso de operaciones comerciales normales por razones de precio y podrán no tomarse en cuenta en el cálculo del valor normal únicamente si las autoridades</w:t>
      </w:r>
      <w:r w:rsidRPr="00E50242">
        <w:rPr>
          <w:rFonts w:eastAsia="Times New Roman" w:cs="Times New Roman"/>
          <w:color w:val="000000"/>
          <w:szCs w:val="18"/>
          <w:vertAlign w:val="superscript"/>
          <w:lang w:eastAsia="en-GB"/>
        </w:rPr>
        <w:footnoteReference w:id="3"/>
      </w:r>
      <w:r w:rsidRPr="00E50242">
        <w:rPr>
          <w:lang w:eastAsia="en-GB"/>
        </w:rPr>
        <w:t xml:space="preserve"> </w:t>
      </w:r>
      <w:r w:rsidRPr="00E50242">
        <w:rPr>
          <w:rFonts w:eastAsia="Times New Roman" w:cs="Times New Roman"/>
          <w:color w:val="000000"/>
          <w:szCs w:val="18"/>
          <w:lang w:eastAsia="en-GB"/>
        </w:rPr>
        <w:t>determinan que esas ventas se han efectuado durante un período prolongado</w:t>
      </w:r>
      <w:r w:rsidRPr="00E50242">
        <w:rPr>
          <w:rFonts w:eastAsia="Times New Roman" w:cs="Times New Roman"/>
          <w:color w:val="000000"/>
          <w:szCs w:val="18"/>
          <w:vertAlign w:val="superscript"/>
          <w:lang w:eastAsia="en-GB"/>
        </w:rPr>
        <w:footnoteReference w:id="4"/>
      </w:r>
      <w:r w:rsidRPr="00E50242">
        <w:rPr>
          <w:rFonts w:eastAsia="Times New Roman" w:cs="Times New Roman"/>
          <w:color w:val="000000"/>
          <w:szCs w:val="18"/>
          <w:lang w:eastAsia="en-GB"/>
        </w:rPr>
        <w:t xml:space="preserve"> en cantidades</w:t>
      </w:r>
      <w:r w:rsidRPr="00E50242">
        <w:rPr>
          <w:rFonts w:eastAsia="Times New Roman" w:cs="Times New Roman"/>
          <w:color w:val="000000"/>
          <w:szCs w:val="18"/>
          <w:vertAlign w:val="superscript"/>
          <w:lang w:eastAsia="en-GB"/>
        </w:rPr>
        <w:footnoteReference w:id="5"/>
      </w:r>
      <w:r w:rsidRPr="00E50242">
        <w:rPr>
          <w:rFonts w:eastAsia="Times New Roman" w:cs="Times New Roman"/>
          <w:color w:val="000000"/>
          <w:szCs w:val="18"/>
          <w:lang w:eastAsia="en-GB"/>
        </w:rPr>
        <w:t xml:space="preserve"> sustanciales y a precios que no permiten recuperar todos los costos dentro de un plazo razonable.</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 xml:space="preserve">Si los precios inferiores a </w:t>
      </w:r>
      <w:r w:rsidRPr="00E50242">
        <w:rPr>
          <w:rFonts w:eastAsia="Times New Roman" w:cs="Times New Roman"/>
          <w:color w:val="000000"/>
          <w:szCs w:val="18"/>
          <w:lang w:eastAsia="en-GB"/>
        </w:rPr>
        <w:lastRenderedPageBreak/>
        <w:t>los costos unitarios en el momento de la venta son superiores a los costos unitarios medios ponderados correspondientes al período objeto de investigación, se considerará que esos precios permiten recuperar los costos dentro de un plazo razonable.</w:t>
      </w:r>
    </w:p>
    <w:p w14:paraId="1EEFD32A" w14:textId="36CFEE9F" w:rsidR="00E50242" w:rsidRPr="001A6A7F" w:rsidRDefault="00E50242" w:rsidP="006C4965">
      <w:pPr>
        <w:spacing w:after="240"/>
        <w:ind w:left="1985" w:hanging="1134"/>
        <w:rPr>
          <w:rFonts w:eastAsia="Times New Roman" w:cs="Times New Roman"/>
          <w:color w:val="000000"/>
          <w:szCs w:val="18"/>
          <w:lang w:eastAsia="en-GB"/>
        </w:rPr>
      </w:pPr>
      <w:r w:rsidRPr="00E50242">
        <w:rPr>
          <w:rFonts w:eastAsia="Times New Roman" w:cs="Times New Roman"/>
          <w:color w:val="000000"/>
          <w:szCs w:val="18"/>
          <w:lang w:eastAsia="en-GB"/>
        </w:rPr>
        <w:t>2.2.1.1</w:t>
      </w:r>
      <w:r w:rsidRPr="00E50242">
        <w:rPr>
          <w:rFonts w:eastAsia="Times New Roman" w:cs="Times New Roman"/>
          <w:color w:val="000000"/>
          <w:szCs w:val="18"/>
          <w:lang w:eastAsia="en-GB"/>
        </w:rPr>
        <w:tab/>
        <w:t>A los efectos del párrafo 2, los costos se calcularán normalmente sobre la base de los registros que lleve el exportador o productor objeto de investigación, siempre que tales registros estén en conformidad con los principios de contabilidad generalmente aceptados del país exportador y reflejen razonablemente los costos asociados a la producción y venta del producto considerado.</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Las autoridades tomarán en consideración todas las pruebas disponibles de que la imputación de los costos ha sido la adecuada, incluidas las que presente el exportador o productor en el curso de la investigación, siempre que esas imputaciones hayan sido utilizadas tradicionalmente por el exportador o productor, sobre todo en relación con el establecimiento de períodos de amortización y depreciación adecuados y deducciones por concepto de gastos de capital y otros costos de desarrollo.</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A menos que se reflejen ya en las imputaciones de los costos a que se refiere este apartado, los costos se ajustarán debidamente para tener en cuenta las partidas de gastos no recurrentes que beneficien a la producción futura y/o actual, o para tener en cuenta las circunstancias en que los costos correspondientes al período objeto de investigación han resultado afectados por operaciones de puesta en marcha.</w:t>
      </w:r>
      <w:r w:rsidRPr="00E50242">
        <w:rPr>
          <w:rFonts w:eastAsia="Times New Roman" w:cs="Times New Roman"/>
          <w:color w:val="000000"/>
          <w:szCs w:val="18"/>
          <w:vertAlign w:val="superscript"/>
          <w:lang w:eastAsia="en-GB"/>
        </w:rPr>
        <w:footnoteReference w:id="6"/>
      </w:r>
    </w:p>
    <w:p w14:paraId="0C43A787" w14:textId="7F6E585D" w:rsidR="00E50242" w:rsidRPr="001A6A7F" w:rsidRDefault="00E50242" w:rsidP="001730BA">
      <w:pPr>
        <w:spacing w:after="240"/>
        <w:ind w:left="1418" w:hanging="851"/>
        <w:rPr>
          <w:rFonts w:eastAsia="Times New Roman" w:cs="Times New Roman"/>
          <w:color w:val="000000"/>
          <w:szCs w:val="18"/>
          <w:lang w:eastAsia="en-GB"/>
        </w:rPr>
      </w:pPr>
      <w:r w:rsidRPr="00E50242">
        <w:rPr>
          <w:rFonts w:eastAsia="Times New Roman" w:cs="Times New Roman"/>
          <w:color w:val="000000"/>
          <w:szCs w:val="18"/>
          <w:lang w:eastAsia="en-GB"/>
        </w:rPr>
        <w:t>2.2.2</w:t>
      </w:r>
      <w:r w:rsidRPr="00E50242">
        <w:rPr>
          <w:rFonts w:eastAsia="Times New Roman" w:cs="Times New Roman"/>
          <w:color w:val="000000"/>
          <w:szCs w:val="18"/>
          <w:lang w:eastAsia="en-GB"/>
        </w:rPr>
        <w:tab/>
        <w:t>A los efectos del párrafo 2, las cantidades por concepto de gastos administrativos, de venta y de carácter general, así como por concepto de beneficios, se basarán en datos reales relacionados con la producción y ventas del producto similar en el curso de operaciones comerciales normales, realizadas por el exportador o el productor objeto de investigación.</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Cuando esas cantidades no puedan determinarse sobre esta base, podrán determinarse sobre la base de:</w:t>
      </w:r>
    </w:p>
    <w:p w14:paraId="0721C5FE" w14:textId="6D1F175F" w:rsidR="00E50242" w:rsidRPr="001A6A7F" w:rsidRDefault="00E50242" w:rsidP="00A464CB">
      <w:pPr>
        <w:spacing w:after="240"/>
        <w:ind w:left="1985" w:hanging="567"/>
        <w:rPr>
          <w:lang w:eastAsia="en-GB"/>
        </w:rPr>
      </w:pPr>
      <w:r w:rsidRPr="00E50242">
        <w:rPr>
          <w:lang w:eastAsia="en-GB"/>
        </w:rPr>
        <w:t>i)</w:t>
      </w:r>
      <w:r w:rsidRPr="00E50242">
        <w:rPr>
          <w:lang w:eastAsia="en-GB"/>
        </w:rPr>
        <w:tab/>
        <w:t>las cantidades reales gastadas y obtenidas por el exportador o productor en cuestión en relación con la producción y las ventas en el mercado interno del país de origen de la misma categoría general de productos;</w:t>
      </w:r>
    </w:p>
    <w:p w14:paraId="05C97AB9" w14:textId="0E866352" w:rsidR="00E50242" w:rsidRPr="001A6A7F" w:rsidRDefault="00E50242" w:rsidP="00A464CB">
      <w:pPr>
        <w:spacing w:after="240"/>
        <w:ind w:left="1985" w:hanging="567"/>
        <w:rPr>
          <w:rFonts w:eastAsia="Times New Roman" w:cs="Times New Roman"/>
          <w:color w:val="000000"/>
          <w:szCs w:val="18"/>
          <w:lang w:eastAsia="en-GB"/>
        </w:rPr>
      </w:pPr>
      <w:r w:rsidRPr="00E50242">
        <w:rPr>
          <w:rFonts w:eastAsia="Times New Roman" w:cs="Times New Roman"/>
          <w:color w:val="000000"/>
          <w:szCs w:val="18"/>
          <w:lang w:eastAsia="en-GB"/>
        </w:rPr>
        <w:t>ii)</w:t>
      </w:r>
      <w:r w:rsidRPr="00E50242">
        <w:rPr>
          <w:rFonts w:eastAsia="Times New Roman" w:cs="Times New Roman"/>
          <w:color w:val="000000"/>
          <w:szCs w:val="18"/>
          <w:lang w:eastAsia="en-GB"/>
        </w:rPr>
        <w:tab/>
        <w:t>la media ponderada de las cantidades reales gastadas y obtenidas por otros exportadores o productores sometidos a investigación en relación con la producción y las ventas del producto similar en el mercado interno del país de origen;</w:t>
      </w:r>
    </w:p>
    <w:p w14:paraId="490A1248" w14:textId="1E41A39F" w:rsidR="00E50242" w:rsidRPr="001A6A7F" w:rsidRDefault="00E50242" w:rsidP="00A464CB">
      <w:pPr>
        <w:spacing w:after="240"/>
        <w:ind w:left="1985" w:hanging="567"/>
        <w:rPr>
          <w:rFonts w:eastAsia="Times New Roman" w:cs="Times New Roman"/>
          <w:color w:val="000000"/>
          <w:szCs w:val="18"/>
          <w:lang w:eastAsia="en-GB"/>
        </w:rPr>
      </w:pPr>
      <w:r w:rsidRPr="00E50242">
        <w:rPr>
          <w:rFonts w:eastAsia="Times New Roman" w:cs="Times New Roman"/>
          <w:color w:val="000000"/>
          <w:szCs w:val="18"/>
          <w:lang w:eastAsia="en-GB"/>
        </w:rPr>
        <w:t>iii)</w:t>
      </w:r>
      <w:r w:rsidRPr="00E50242">
        <w:rPr>
          <w:rFonts w:eastAsia="Times New Roman" w:cs="Times New Roman"/>
          <w:color w:val="000000"/>
          <w:szCs w:val="18"/>
          <w:lang w:eastAsia="en-GB"/>
        </w:rPr>
        <w:tab/>
        <w:t>cualquier otro método razonable, siempre que la cantidad por concepto de beneficios establecida de este modo no exceda del beneficio obtenido normalmente por otros exportadores o productores en las ventas de productos de la misma categoría general en el mercado interno del país de origen.</w:t>
      </w:r>
    </w:p>
    <w:p w14:paraId="2A4D2B66" w14:textId="77777777"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2.3</w:t>
      </w:r>
      <w:r w:rsidRPr="00E50242">
        <w:rPr>
          <w:rFonts w:eastAsia="Times New Roman" w:cs="Times New Roman"/>
          <w:color w:val="000000"/>
          <w:szCs w:val="18"/>
          <w:lang w:eastAsia="en-GB"/>
        </w:rPr>
        <w:tab/>
        <w:t>Cuando no exista precio de exportación, o cuando, a juicio de la autoridad competente, el precio de exportación no sea fiable por existir una asociación o un arreglo compensatorio entre el exportador y el importador o un tercero, el precio de exportación podrá reconstruirse sobre la base del precio al que los productos importados se revendan por vez primera a un comprador independiente o, si los productos no se revendiesen a un comprador independiente o no lo fueran en el mismo estado en que se importaron, sobre una base razonable que la autoridad determine.</w:t>
      </w:r>
    </w:p>
    <w:p w14:paraId="6225E9C3" w14:textId="549CF3F7"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2.4</w:t>
      </w:r>
      <w:r w:rsidRPr="00E50242">
        <w:rPr>
          <w:rFonts w:eastAsia="Times New Roman" w:cs="Times New Roman"/>
          <w:color w:val="000000"/>
          <w:szCs w:val="18"/>
          <w:lang w:eastAsia="en-GB"/>
        </w:rPr>
        <w:tab/>
        <w:t>Se realizará una comparación equitativa entre el precio de exportación y el valor normal.</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Esta comparación se hará en el mismo nivel comercial, normalmente el nivel "ex fábrica", y sobre la base de ventas efectuadas en fechas lo más próximas posible.</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 xml:space="preserve">Se tendrán debidamente en cuenta en cada caso, según sus circunstancias particulares, las diferencias que influyan en la comparabilidad de los precios, entre otras las diferencias en las condiciones de venta, las de tributación, las diferencias en los niveles comerciales, en las cantidades y en las características físicas, y cualesquiera otras </w:t>
      </w:r>
      <w:r w:rsidRPr="00E50242">
        <w:rPr>
          <w:rFonts w:eastAsia="Times New Roman" w:cs="Times New Roman"/>
          <w:color w:val="000000"/>
          <w:szCs w:val="18"/>
          <w:lang w:eastAsia="en-GB"/>
        </w:rPr>
        <w:lastRenderedPageBreak/>
        <w:t>diferencias de las que también se demuestre que influyen en la comparabilidad de los precios.</w:t>
      </w:r>
      <w:r w:rsidRPr="00E50242">
        <w:rPr>
          <w:rFonts w:eastAsia="Times New Roman" w:cs="Times New Roman"/>
          <w:color w:val="000000"/>
          <w:szCs w:val="18"/>
          <w:vertAlign w:val="superscript"/>
          <w:lang w:eastAsia="en-GB"/>
        </w:rPr>
        <w:footnoteReference w:id="7"/>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En los casos previstos en el párrafo</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3, se deberán tener en cuenta también los gastos, con inclusión de los derechos e impuestos, en que se incurra entre la importación y la reventa, así como los beneficios correspondientes.</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Cuando, en esos casos, haya resultado afectada la comparabilidad de los precios, las autoridades establecerán el valor normal en un nivel comercial equivalente al correspondiente al precio de exportación reconstruido o tendrán debidamente en cuenta los elementos que el presente párrafo permite tomar en consideración.</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Las autoridades indicarán a las partes afectadas qué</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información se necesita para garantizar una comparación equitativa y no les impondrán una carga probatoria que no sea razonable.</w:t>
      </w:r>
    </w:p>
    <w:p w14:paraId="20792B1F" w14:textId="244826E5" w:rsidR="00E50242" w:rsidRPr="001A6A7F" w:rsidRDefault="00E50242" w:rsidP="00292C07">
      <w:pPr>
        <w:spacing w:after="240"/>
        <w:ind w:left="1418" w:hanging="851"/>
        <w:rPr>
          <w:rFonts w:eastAsia="Times New Roman" w:cs="Times New Roman"/>
          <w:color w:val="000000"/>
          <w:szCs w:val="18"/>
          <w:lang w:eastAsia="en-GB"/>
        </w:rPr>
      </w:pPr>
      <w:r w:rsidRPr="00E50242">
        <w:rPr>
          <w:rFonts w:eastAsia="Times New Roman" w:cs="Times New Roman"/>
          <w:color w:val="000000"/>
          <w:szCs w:val="18"/>
          <w:lang w:eastAsia="en-GB"/>
        </w:rPr>
        <w:t>2.4.1</w:t>
      </w:r>
      <w:r w:rsidRPr="00E50242">
        <w:rPr>
          <w:rFonts w:eastAsia="Times New Roman" w:cs="Times New Roman"/>
          <w:color w:val="000000"/>
          <w:szCs w:val="18"/>
          <w:lang w:eastAsia="en-GB"/>
        </w:rPr>
        <w:tab/>
        <w:t>Cuando la comparación con arreglo al párrafo 4 exija una conversión de monedas, ésta deberá efectuarse utilizando el tipo de cambio de la fecha de venta</w:t>
      </w:r>
      <w:r w:rsidRPr="00E50242">
        <w:rPr>
          <w:rFonts w:eastAsia="Times New Roman" w:cs="Times New Roman"/>
          <w:color w:val="000000"/>
          <w:szCs w:val="18"/>
          <w:vertAlign w:val="superscript"/>
          <w:lang w:eastAsia="en-GB"/>
        </w:rPr>
        <w:footnoteReference w:id="8"/>
      </w:r>
      <w:r w:rsidRPr="00E50242">
        <w:rPr>
          <w:rFonts w:eastAsia="Times New Roman" w:cs="Times New Roman"/>
          <w:color w:val="000000"/>
          <w:szCs w:val="18"/>
          <w:lang w:eastAsia="en-GB"/>
        </w:rPr>
        <w:t>, con la salvedad de que cuando una venta de divisas en los mercados a término esté directamente relacionada con la venta de exportación de que se trate, se utilizará el tipo de cambio de la venta a término.</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No se tendrán en cuenta las fluctuaciones de los tipos de cambio y, en una investigación, las autoridades concederán a los exportadores un plazo de 60</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días, como mínimo, para que ajusten sus precios de exportación de manera que reflejen movimientos sostenidos de los tipos de cambio durante el período objeto de investigación.</w:t>
      </w:r>
    </w:p>
    <w:p w14:paraId="0D5394BB" w14:textId="1D07504F" w:rsidR="00E50242" w:rsidRPr="001A6A7F" w:rsidRDefault="00E50242" w:rsidP="00292C07">
      <w:pPr>
        <w:spacing w:after="240"/>
        <w:ind w:left="1418" w:hanging="851"/>
        <w:rPr>
          <w:rFonts w:eastAsia="Times New Roman" w:cs="Times New Roman"/>
          <w:color w:val="000000"/>
          <w:szCs w:val="18"/>
          <w:lang w:eastAsia="en-GB"/>
        </w:rPr>
      </w:pPr>
      <w:r w:rsidRPr="00E50242">
        <w:rPr>
          <w:rFonts w:eastAsia="Times New Roman" w:cs="Times New Roman"/>
          <w:color w:val="000000"/>
          <w:szCs w:val="18"/>
          <w:lang w:eastAsia="en-GB"/>
        </w:rPr>
        <w:t>2.4.2</w:t>
      </w:r>
      <w:r w:rsidRPr="00E50242">
        <w:rPr>
          <w:rFonts w:eastAsia="Times New Roman" w:cs="Times New Roman"/>
          <w:color w:val="000000"/>
          <w:szCs w:val="18"/>
          <w:lang w:eastAsia="en-GB"/>
        </w:rPr>
        <w:tab/>
        <w:t>A reserva de las disposiciones del párrafo 4 que rigen la comparación equitativa, la existencia de márgenes de dumping durante la etapa de investigación se establecerá normalmente sobre la base de una comparación entre un promedio ponderado del valor normal y un promedio ponderado de los precios de todas las transacciones de exportación comparables o mediante una comparación entre el valor normal y los precios de exportación transacción por transacción.</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Un valor normal establecido sobre la base del promedio ponderado podrá compararse con los precios de transacciones de exportación individuales si las autoridades constatan una pauta de precios de exportación significativamente diferentes según los distintos compradores, regiones o períodos, y si se presenta una explicación de por qué esas diferencias no pueden ser tomadas debidamente en cuenta mediante una comparación entre promedios ponderados o transacción por transacción.</w:t>
      </w:r>
    </w:p>
    <w:p w14:paraId="1C496AEC" w14:textId="7B876BDD"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2.5</w:t>
      </w:r>
      <w:r w:rsidRPr="00E50242">
        <w:rPr>
          <w:rFonts w:eastAsia="Times New Roman" w:cs="Times New Roman"/>
          <w:color w:val="000000"/>
          <w:szCs w:val="18"/>
          <w:lang w:eastAsia="en-GB"/>
        </w:rPr>
        <w:tab/>
        <w:t>En caso de que los productos no se importen directamente del país de origen, sino que se exporten al Miembro importador desde un tercer país, el precio a que se vendan los productos desde el país de exportación al Miembro importador se comparará, normalmente, con el precio comparable en el país de exportación.</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Sin embargo, podrá hacerse la comparación con el precio del país de origen cuando, por ejemplo, los productos transiten simplemente por el país de exportación, o cuando esos productos no se produzcan o no exista un precio comparable para ellos en el país de exportación.</w:t>
      </w:r>
    </w:p>
    <w:p w14:paraId="1D92894F" w14:textId="77777777"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2.6</w:t>
      </w:r>
      <w:r w:rsidRPr="00E50242">
        <w:rPr>
          <w:rFonts w:eastAsia="Times New Roman" w:cs="Times New Roman"/>
          <w:color w:val="000000"/>
          <w:szCs w:val="18"/>
          <w:lang w:eastAsia="en-GB"/>
        </w:rPr>
        <w:tab/>
        <w:t>En todo el presente Acuerdo se entenderá que la expresión "producto similar" ("like product") significa un producto que sea idéntico, es decir, igual en todos los aspectos al producto de que se trate, o, cuando no exista ese producto, otro producto que, aunque no sea igual en todos los aspectos, tenga características muy parecidas a las del producto considerado.</w:t>
      </w:r>
    </w:p>
    <w:p w14:paraId="36C0369B" w14:textId="77777777"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2.7</w:t>
      </w:r>
      <w:r w:rsidRPr="00E50242">
        <w:rPr>
          <w:rFonts w:eastAsia="Times New Roman" w:cs="Times New Roman"/>
          <w:color w:val="000000"/>
          <w:szCs w:val="18"/>
          <w:lang w:eastAsia="en-GB"/>
        </w:rPr>
        <w:tab/>
        <w:t>El presente artículo se entiende sin perjuicio de lo establecido en la segunda disposición suplementaria del párrafo 1 del artículo VI del GATT de 1994, contenida en su Anexo I.</w:t>
      </w:r>
    </w:p>
    <w:p w14:paraId="7F1102F1" w14:textId="77777777" w:rsidR="00E50242" w:rsidRPr="006C4965" w:rsidRDefault="00E50242" w:rsidP="006C54D4">
      <w:pPr>
        <w:keepNext/>
        <w:spacing w:after="240"/>
        <w:jc w:val="center"/>
        <w:rPr>
          <w:rFonts w:eastAsia="Times New Roman" w:cs="Times New Roman"/>
          <w:color w:val="000000"/>
          <w:szCs w:val="18"/>
          <w:lang w:eastAsia="en-GB"/>
        </w:rPr>
      </w:pPr>
      <w:r w:rsidRPr="006C4965">
        <w:rPr>
          <w:rFonts w:eastAsia="Times New Roman" w:cs="Times New Roman"/>
          <w:i/>
          <w:color w:val="000000"/>
          <w:szCs w:val="18"/>
          <w:lang w:eastAsia="en-GB"/>
        </w:rPr>
        <w:lastRenderedPageBreak/>
        <w:t>Artículo 3</w:t>
      </w:r>
    </w:p>
    <w:p w14:paraId="161B64C3" w14:textId="77777777" w:rsidR="00E50242" w:rsidRPr="001A6A7F" w:rsidRDefault="00E50242" w:rsidP="006461D4">
      <w:pPr>
        <w:keepNext/>
        <w:spacing w:after="240"/>
        <w:jc w:val="center"/>
        <w:rPr>
          <w:rFonts w:eastAsia="Times New Roman" w:cs="Times New Roman"/>
          <w:color w:val="000000"/>
          <w:szCs w:val="18"/>
          <w:lang w:eastAsia="en-GB"/>
        </w:rPr>
      </w:pPr>
      <w:r w:rsidRPr="00E50242">
        <w:rPr>
          <w:rFonts w:eastAsia="Times New Roman" w:cs="Times New Roman"/>
          <w:i/>
          <w:color w:val="000000"/>
          <w:szCs w:val="18"/>
          <w:lang w:eastAsia="en-GB"/>
        </w:rPr>
        <w:t>Determinación de la existencia de daño</w:t>
      </w:r>
      <w:r w:rsidRPr="00E50242">
        <w:rPr>
          <w:rFonts w:eastAsia="Times New Roman" w:cs="Times New Roman"/>
          <w:color w:val="000000"/>
          <w:szCs w:val="18"/>
          <w:vertAlign w:val="superscript"/>
          <w:lang w:eastAsia="en-GB"/>
        </w:rPr>
        <w:footnoteReference w:id="9"/>
      </w:r>
    </w:p>
    <w:p w14:paraId="62FED19B" w14:textId="2C05CAEF" w:rsidR="00E50242" w:rsidRPr="001A6A7F" w:rsidRDefault="00E50242" w:rsidP="00D372E7">
      <w:pPr>
        <w:keepLines/>
        <w:spacing w:after="240"/>
        <w:rPr>
          <w:rFonts w:eastAsia="Times New Roman" w:cs="Times New Roman"/>
          <w:color w:val="000000"/>
          <w:szCs w:val="18"/>
          <w:lang w:eastAsia="en-GB"/>
        </w:rPr>
      </w:pPr>
      <w:r w:rsidRPr="00E50242">
        <w:rPr>
          <w:rFonts w:eastAsia="Times New Roman" w:cs="Times New Roman"/>
          <w:color w:val="000000"/>
          <w:szCs w:val="18"/>
          <w:lang w:eastAsia="en-GB"/>
        </w:rPr>
        <w:t>3.1</w:t>
      </w:r>
      <w:r w:rsidRPr="00E50242">
        <w:rPr>
          <w:rFonts w:eastAsia="Times New Roman" w:cs="Times New Roman"/>
          <w:color w:val="000000"/>
          <w:szCs w:val="18"/>
          <w:lang w:eastAsia="en-GB"/>
        </w:rPr>
        <w:tab/>
        <w:t>La determinación de la existencia de daño a los efectos del artículo</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VI del GATT de 1994 se basará en pruebas positivas y comprenderá un examen objetivo:</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a) del volumen de las importaciones objeto de dumping y del efecto de éstas en los precios de productos similares en el mercado interno y b) de la consiguiente repercusión de esas importaciones sobre los productores nacionales de tales productos.</w:t>
      </w:r>
    </w:p>
    <w:p w14:paraId="1C063AA9" w14:textId="7F08E2B3"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3.2</w:t>
      </w:r>
      <w:r w:rsidRPr="00E50242">
        <w:rPr>
          <w:rFonts w:eastAsia="Times New Roman" w:cs="Times New Roman"/>
          <w:color w:val="000000"/>
          <w:szCs w:val="18"/>
          <w:lang w:eastAsia="en-GB"/>
        </w:rPr>
        <w:tab/>
        <w:t>En lo que respecta al volumen de las importaciones objeto de dumping, la autoridad investigadora tendrá en cuenta si ha habido un aumento significativo de las mismas, en términos absolutos o en relación con la producción o el consumo del Miembro importador.</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En lo tocante al efecto de las importaciones objeto de dumping sobre los precios, la autoridad investigadora tendrá en cuenta si ha habido una significativa subvaloración de precios de las importaciones objeto de dumping en comparación con el precio de un producto similar del Miembro importador, o bien si el efecto de tales importaciones es hacer bajar de otro modo los precios en medida significativa o impedir en medida significativa la subida que en otro caso se hubiera producido.</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Ninguno de estos factores aisladamente ni varios de ellos juntos bastarán necesariamente para obtener una orientación decisiva.</w:t>
      </w:r>
    </w:p>
    <w:p w14:paraId="7D7B0A77" w14:textId="4ABBB8BD"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3.3</w:t>
      </w:r>
      <w:r w:rsidRPr="00E50242">
        <w:rPr>
          <w:rFonts w:eastAsia="Times New Roman" w:cs="Times New Roman"/>
          <w:color w:val="000000"/>
          <w:szCs w:val="18"/>
          <w:lang w:eastAsia="en-GB"/>
        </w:rPr>
        <w:tab/>
        <w:t xml:space="preserve">Cuando las importaciones de un producto procedentes de más de un país sean objeto simultáneamente de investigaciones antidumping, la autoridad investigadora sólo podrá evaluar acumulativamente los efectos de esas importaciones si determina que a) el margen de dumping establecido en relación con las importaciones de cada país proveedor es más que </w:t>
      </w:r>
      <w:r w:rsidRPr="00E50242">
        <w:rPr>
          <w:rFonts w:eastAsia="Times New Roman" w:cs="Times New Roman"/>
          <w:i/>
          <w:color w:val="000000"/>
          <w:szCs w:val="18"/>
          <w:lang w:eastAsia="en-GB"/>
        </w:rPr>
        <w:t>de minimis</w:t>
      </w:r>
      <w:r w:rsidRPr="00E50242">
        <w:rPr>
          <w:rFonts w:eastAsia="Times New Roman" w:cs="Times New Roman"/>
          <w:color w:val="000000"/>
          <w:szCs w:val="18"/>
          <w:lang w:eastAsia="en-GB"/>
        </w:rPr>
        <w:t>, según la definición que de ese término figura en el párrafo 8 del artículo 5, y el volumen de las importaciones procedentes de cada país no es insignificante y b) procede la evaluación acumulativa de los efectos de las importaciones a la luz de las condiciones de competencia entre los productos importados y el producto nacional similar.</w:t>
      </w:r>
    </w:p>
    <w:p w14:paraId="580EAFF9" w14:textId="62D61165"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3.4</w:t>
      </w:r>
      <w:r w:rsidRPr="00E50242">
        <w:rPr>
          <w:rFonts w:eastAsia="Times New Roman" w:cs="Times New Roman"/>
          <w:color w:val="000000"/>
          <w:szCs w:val="18"/>
          <w:lang w:eastAsia="en-GB"/>
        </w:rPr>
        <w:tab/>
        <w:t>El examen de la repercusión de las importaciones objeto de dumping sobre la rama de producción nacional de que se trate incluirá una evaluación de todos los factores e índices económicos pertinentes que influyan en el estado de esa rama de producción, incluidos la disminución real y potencial de las ventas, los beneficios, el volumen de producción, la participación en el mercado, la productividad, el rendimiento de las inversiones o la utilización de la capacidad;</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los factores que afecten a los precios internos;</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la magnitud del margen de dumping;</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los efectos negativos reales o potenciales en el flujo de caja ("cash flow"), las existencias, el empleo, los salarios, el crecimiento, la capacidad de reunir capital o la inversión.</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Esta enumeración no es exhaustiva, y ninguno de estos factores aisladamente ni varios de ellos juntos bastarán necesariamente para obtener una orientación decisiva.</w:t>
      </w:r>
    </w:p>
    <w:p w14:paraId="7C7B44EE" w14:textId="1EAAFC56"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3.5</w:t>
      </w:r>
      <w:r w:rsidRPr="00E50242">
        <w:rPr>
          <w:rFonts w:eastAsia="Times New Roman" w:cs="Times New Roman"/>
          <w:color w:val="000000"/>
          <w:szCs w:val="18"/>
          <w:lang w:eastAsia="en-GB"/>
        </w:rPr>
        <w:tab/>
        <w:t>Habrá de demostrarse que, por los efectos del dumping que se mencionan en los párrafos 2 y</w:t>
      </w:r>
      <w:r w:rsidR="00E858DD">
        <w:rPr>
          <w:rFonts w:eastAsia="Times New Roman" w:cs="Times New Roman"/>
          <w:color w:val="000000"/>
          <w:szCs w:val="18"/>
          <w:lang w:eastAsia="en-GB"/>
        </w:rPr>
        <w:t> </w:t>
      </w:r>
      <w:r w:rsidRPr="00E50242">
        <w:rPr>
          <w:rFonts w:eastAsia="Times New Roman" w:cs="Times New Roman"/>
          <w:color w:val="000000"/>
          <w:szCs w:val="18"/>
          <w:lang w:eastAsia="en-GB"/>
        </w:rPr>
        <w:t>4, las importaciones objeto de dumping causan daño en el sentido del presente Acuerdo.</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La demostración de una relación causal entre las importaciones objeto de dumping y el daño a la rama de producción nacional se basará en un examen de todas las pruebas pertinentes de que dispongan las autoridades.</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Éstas examinarán también cualesquiera otros factores de que tengan conocimiento, distintos de las importaciones objeto de dumping, que al mismo tiempo perjudiquen a la rama de producción nacional, y los daños causados por esos otros factores no se habrán de atribuir a las importaciones objeto de dumping.</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Entre los factores que pueden ser pertinentes a este respecto figuran el volumen y los precios de las importaciones no vendidas a precios de dumping, la contracción de la demanda o variaciones de la estructura del consumo, las prácticas comerciales restrictivas de los productores extranjeros y nacionales y la competencia entre unos y otros, la evolución de la tecnología y los resultados de la actividad exportadora y la productividad de la rama de producción nacional.</w:t>
      </w:r>
    </w:p>
    <w:p w14:paraId="2EAAB5E7" w14:textId="292606C5"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3.6</w:t>
      </w:r>
      <w:r w:rsidRPr="00E50242">
        <w:rPr>
          <w:rFonts w:eastAsia="Times New Roman" w:cs="Times New Roman"/>
          <w:color w:val="000000"/>
          <w:szCs w:val="18"/>
          <w:lang w:eastAsia="en-GB"/>
        </w:rPr>
        <w:tab/>
        <w:t xml:space="preserve">El efecto de las importaciones objeto de dumping se evaluará en relación con la producción nacional del producto similar cuando los datos disponibles permitan identificarla separadamente con </w:t>
      </w:r>
      <w:r w:rsidRPr="00E50242">
        <w:rPr>
          <w:rFonts w:eastAsia="Times New Roman" w:cs="Times New Roman"/>
          <w:color w:val="000000"/>
          <w:szCs w:val="18"/>
          <w:lang w:eastAsia="en-GB"/>
        </w:rPr>
        <w:lastRenderedPageBreak/>
        <w:t>arreglo a criterios tales como el proceso de producción, las ventas de los productores y sus beneficios.</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Si no es posible efectuar tal identificación separada de esa producción, los efectos de las importaciones objeto de dumping se evaluarán examinando la producción del grupo o gama más restringido de productos que incluya el producto similar y a cuyo respecto pueda proporcionarse la información necesaria.</w:t>
      </w:r>
    </w:p>
    <w:p w14:paraId="3CB5A7EB" w14:textId="7B9B0510"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3.7</w:t>
      </w:r>
      <w:r w:rsidRPr="00E50242">
        <w:rPr>
          <w:rFonts w:eastAsia="Times New Roman" w:cs="Times New Roman"/>
          <w:color w:val="000000"/>
          <w:szCs w:val="18"/>
          <w:lang w:eastAsia="en-GB"/>
        </w:rPr>
        <w:tab/>
        <w:t>La determinación de la existencia de una amenaza de daño importante se basará en hechos y no simplemente en alegaciones, conjeturas o posibilidades remotas.</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La modificación de las circunstancias que daría lugar a una situación en la cual el dumping causaría un daño deberá ser claramente prevista e inminente.</w:t>
      </w:r>
      <w:r w:rsidRPr="00E50242">
        <w:rPr>
          <w:rFonts w:eastAsia="Times New Roman" w:cs="Times New Roman"/>
          <w:color w:val="000000"/>
          <w:szCs w:val="18"/>
          <w:vertAlign w:val="superscript"/>
          <w:lang w:eastAsia="en-GB"/>
        </w:rPr>
        <w:footnoteReference w:id="10"/>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Al llevar a cabo una determinación referente a la existencia de una amenaza de daño importante, las autoridades deberán considerar, entre otros, los siguientes factores:</w:t>
      </w:r>
    </w:p>
    <w:p w14:paraId="7CA064EF" w14:textId="2C35C28A" w:rsidR="00E50242" w:rsidRPr="001A6A7F" w:rsidRDefault="00E50242" w:rsidP="00A12182">
      <w:pPr>
        <w:spacing w:after="240"/>
        <w:ind w:left="1418" w:hanging="851"/>
        <w:rPr>
          <w:lang w:eastAsia="en-GB"/>
        </w:rPr>
      </w:pPr>
      <w:r w:rsidRPr="00E50242">
        <w:rPr>
          <w:lang w:eastAsia="en-GB"/>
        </w:rPr>
        <w:t>i)</w:t>
      </w:r>
      <w:r w:rsidRPr="00E50242">
        <w:rPr>
          <w:lang w:eastAsia="en-GB"/>
        </w:rPr>
        <w:tab/>
        <w:t>una tasa significativa de incremento de las importaciones objeto de dumping en el mercado interno que indique la probabilidad de que aumenten sustancialmente las importaciones;</w:t>
      </w:r>
    </w:p>
    <w:p w14:paraId="1A7E301F" w14:textId="3B273601" w:rsidR="00E50242" w:rsidRPr="001A6A7F" w:rsidRDefault="00E50242" w:rsidP="00A12182">
      <w:pPr>
        <w:spacing w:after="240"/>
        <w:ind w:left="1418" w:hanging="851"/>
        <w:rPr>
          <w:rFonts w:eastAsia="Times New Roman" w:cs="Times New Roman"/>
          <w:color w:val="000000"/>
          <w:szCs w:val="18"/>
          <w:lang w:eastAsia="en-GB"/>
        </w:rPr>
      </w:pPr>
      <w:r w:rsidRPr="00E50242">
        <w:rPr>
          <w:rFonts w:eastAsia="Times New Roman" w:cs="Times New Roman"/>
          <w:color w:val="000000"/>
          <w:szCs w:val="18"/>
          <w:lang w:eastAsia="en-GB"/>
        </w:rPr>
        <w:t>ii)</w:t>
      </w:r>
      <w:r w:rsidRPr="00E50242">
        <w:rPr>
          <w:rFonts w:eastAsia="Times New Roman" w:cs="Times New Roman"/>
          <w:color w:val="000000"/>
          <w:szCs w:val="18"/>
          <w:lang w:eastAsia="en-GB"/>
        </w:rPr>
        <w:tab/>
        <w:t>una suficiente capacidad libremente disponible del exportador o un aumento inminente y sustancial de la misma que indique la probabilidad de un aumento sustancial de las exportaciones objeto de dumping al mercado del Miembro importador, teniendo en cuenta la existencia de otros mercados de exportación que puedan absorber el posible aumento de las exportaciones;</w:t>
      </w:r>
    </w:p>
    <w:p w14:paraId="4E4B3B51" w14:textId="6A4F8B9F" w:rsidR="00E50242" w:rsidRPr="001A6A7F" w:rsidRDefault="00E50242" w:rsidP="00A12182">
      <w:pPr>
        <w:spacing w:after="240"/>
        <w:ind w:left="1418" w:hanging="851"/>
        <w:rPr>
          <w:rFonts w:eastAsia="Times New Roman" w:cs="Times New Roman"/>
          <w:color w:val="000000"/>
          <w:szCs w:val="18"/>
          <w:lang w:eastAsia="en-GB"/>
        </w:rPr>
      </w:pPr>
      <w:r w:rsidRPr="00E50242">
        <w:rPr>
          <w:rFonts w:eastAsia="Times New Roman" w:cs="Times New Roman"/>
          <w:color w:val="000000"/>
          <w:szCs w:val="18"/>
          <w:lang w:eastAsia="en-GB"/>
        </w:rPr>
        <w:t>iii)</w:t>
      </w:r>
      <w:r w:rsidRPr="00E50242">
        <w:rPr>
          <w:rFonts w:eastAsia="Times New Roman" w:cs="Times New Roman"/>
          <w:color w:val="000000"/>
          <w:szCs w:val="18"/>
          <w:lang w:eastAsia="en-GB"/>
        </w:rPr>
        <w:tab/>
        <w:t>el hecho de que las importaciones se realicen a precios que tendrán en los precios internos el efecto de hacerlos bajar o contener su subida de manera significativa, y que probablemente hagan aumentar la demanda de nuevas importaciones;</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y</w:t>
      </w:r>
    </w:p>
    <w:p w14:paraId="32F16C03" w14:textId="08AC39A4" w:rsidR="00E50242" w:rsidRPr="001A6A7F" w:rsidRDefault="00E50242" w:rsidP="00A12182">
      <w:pPr>
        <w:spacing w:after="240"/>
        <w:ind w:left="1418" w:hanging="851"/>
        <w:rPr>
          <w:rFonts w:eastAsia="Times New Roman" w:cs="Times New Roman"/>
          <w:color w:val="000000"/>
          <w:szCs w:val="18"/>
          <w:lang w:eastAsia="en-GB"/>
        </w:rPr>
      </w:pPr>
      <w:r w:rsidRPr="00E50242">
        <w:rPr>
          <w:rFonts w:eastAsia="Times New Roman" w:cs="Times New Roman"/>
          <w:color w:val="000000"/>
          <w:szCs w:val="18"/>
          <w:lang w:eastAsia="en-GB"/>
        </w:rPr>
        <w:t>iv)</w:t>
      </w:r>
      <w:r w:rsidRPr="00E50242">
        <w:rPr>
          <w:rFonts w:eastAsia="Times New Roman" w:cs="Times New Roman"/>
          <w:color w:val="000000"/>
          <w:szCs w:val="18"/>
          <w:lang w:eastAsia="en-GB"/>
        </w:rPr>
        <w:tab/>
        <w:t>las existencias del producto objeto de la investigación.</w:t>
      </w:r>
    </w:p>
    <w:p w14:paraId="370FF5B9" w14:textId="209F2245"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Ninguno de estos factores por sí solo bastará necesariamente para obtener una orientación decisiva, pero todos ellos juntos han de llevar a la conclusión de la inminencia de nuevas exportaciones a precios de dumping y de que, a menos que se adopten medidas de protección, se producirá un daño importante.</w:t>
      </w:r>
    </w:p>
    <w:p w14:paraId="4ABBFC6A" w14:textId="77777777"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3.8</w:t>
      </w:r>
      <w:r w:rsidRPr="00E50242">
        <w:rPr>
          <w:rFonts w:eastAsia="Times New Roman" w:cs="Times New Roman"/>
          <w:color w:val="000000"/>
          <w:szCs w:val="18"/>
          <w:lang w:eastAsia="en-GB"/>
        </w:rPr>
        <w:tab/>
        <w:t>Por lo que respecta a los casos en que las importaciones objeto de dumping amenacen causar un daño, la aplicación de las medidas antidumping se examinará y decidirá con especial cuidado.</w:t>
      </w:r>
    </w:p>
    <w:p w14:paraId="328D5636" w14:textId="77777777" w:rsidR="00E50242" w:rsidRPr="006C4965" w:rsidRDefault="00E50242" w:rsidP="006461D4">
      <w:pPr>
        <w:spacing w:after="240"/>
        <w:jc w:val="center"/>
        <w:rPr>
          <w:rFonts w:eastAsia="Times New Roman" w:cs="Times New Roman"/>
          <w:color w:val="000000"/>
          <w:szCs w:val="18"/>
          <w:lang w:eastAsia="en-GB"/>
        </w:rPr>
      </w:pPr>
      <w:r w:rsidRPr="006C4965">
        <w:rPr>
          <w:rFonts w:eastAsia="Times New Roman" w:cs="Times New Roman"/>
          <w:i/>
          <w:color w:val="000000"/>
          <w:szCs w:val="18"/>
          <w:lang w:eastAsia="en-GB"/>
        </w:rPr>
        <w:t>Artículo 4</w:t>
      </w:r>
    </w:p>
    <w:p w14:paraId="41CB239B" w14:textId="77777777" w:rsidR="00E50242" w:rsidRPr="001A6A7F" w:rsidRDefault="00E50242" w:rsidP="00E50242">
      <w:pPr>
        <w:spacing w:after="240"/>
        <w:jc w:val="center"/>
        <w:rPr>
          <w:rFonts w:eastAsia="Times New Roman" w:cs="Times New Roman"/>
          <w:color w:val="000000"/>
          <w:szCs w:val="18"/>
          <w:lang w:eastAsia="en-GB"/>
        </w:rPr>
      </w:pPr>
      <w:r w:rsidRPr="00E50242">
        <w:rPr>
          <w:rFonts w:eastAsia="Times New Roman" w:cs="Times New Roman"/>
          <w:i/>
          <w:color w:val="000000"/>
          <w:szCs w:val="18"/>
          <w:lang w:eastAsia="en-GB"/>
        </w:rPr>
        <w:t>Definición de rama de producción</w:t>
      </w:r>
      <w:r w:rsidRPr="00E50242">
        <w:rPr>
          <w:rFonts w:eastAsia="Times New Roman" w:cs="Times New Roman"/>
          <w:color w:val="000000"/>
          <w:szCs w:val="18"/>
          <w:lang w:eastAsia="en-GB"/>
        </w:rPr>
        <w:t xml:space="preserve"> </w:t>
      </w:r>
      <w:r w:rsidRPr="00E50242">
        <w:rPr>
          <w:rFonts w:eastAsia="Times New Roman" w:cs="Times New Roman"/>
          <w:i/>
          <w:color w:val="000000"/>
          <w:szCs w:val="18"/>
          <w:lang w:eastAsia="en-GB"/>
        </w:rPr>
        <w:t>nacional</w:t>
      </w:r>
    </w:p>
    <w:p w14:paraId="10B4BFE5" w14:textId="50D439A2"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4.1</w:t>
      </w:r>
      <w:r w:rsidRPr="00E50242">
        <w:rPr>
          <w:rFonts w:eastAsia="Times New Roman" w:cs="Times New Roman"/>
          <w:color w:val="000000"/>
          <w:szCs w:val="18"/>
          <w:lang w:eastAsia="en-GB"/>
        </w:rPr>
        <w:tab/>
        <w:t>A los efectos del presente Acuerdo, la expresión "rama de producción nacional" se entenderá en el sentido de abarcar el conjunto de los productores nacionales de los productos similares, o aquellos de entre ellos cuya producción conjunta constituya una proporción importante de la producción nacional total de dichos productos.</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No obstante:</w:t>
      </w:r>
    </w:p>
    <w:p w14:paraId="04D42767" w14:textId="53381669" w:rsidR="00E50242" w:rsidRPr="001A6A7F" w:rsidRDefault="00E50242" w:rsidP="00D372E7">
      <w:pPr>
        <w:ind w:left="1418" w:hanging="851"/>
        <w:rPr>
          <w:rFonts w:eastAsia="Times New Roman" w:cs="Times New Roman"/>
          <w:color w:val="000000"/>
          <w:szCs w:val="18"/>
          <w:lang w:eastAsia="en-GB"/>
        </w:rPr>
      </w:pPr>
      <w:r w:rsidRPr="00E50242">
        <w:rPr>
          <w:rFonts w:eastAsia="Times New Roman" w:cs="Times New Roman"/>
          <w:color w:val="000000"/>
          <w:szCs w:val="18"/>
          <w:lang w:eastAsia="en-GB"/>
        </w:rPr>
        <w:t>i)</w:t>
      </w:r>
      <w:r w:rsidRPr="00E50242">
        <w:rPr>
          <w:rFonts w:eastAsia="Times New Roman" w:cs="Times New Roman"/>
          <w:color w:val="000000"/>
          <w:szCs w:val="18"/>
          <w:lang w:eastAsia="en-GB"/>
        </w:rPr>
        <w:tab/>
        <w:t>cuando unos productores estén vinculados</w:t>
      </w:r>
      <w:r w:rsidRPr="00E50242">
        <w:rPr>
          <w:rFonts w:eastAsia="Times New Roman" w:cs="Times New Roman"/>
          <w:color w:val="000000"/>
          <w:szCs w:val="18"/>
          <w:vertAlign w:val="superscript"/>
          <w:lang w:eastAsia="en-GB"/>
        </w:rPr>
        <w:footnoteReference w:id="11"/>
      </w:r>
      <w:r w:rsidRPr="00E50242">
        <w:rPr>
          <w:rFonts w:eastAsia="Times New Roman" w:cs="Times New Roman"/>
          <w:color w:val="000000"/>
          <w:szCs w:val="18"/>
          <w:lang w:eastAsia="en-GB"/>
        </w:rPr>
        <w:t xml:space="preserve"> a los exportadores o a los importadores o sean ellos mismos importadores del producto objeto del supuesto dumping, la expresión "rama de producción nacional" podrá interpretarse en el sentido de referirse al resto de los productores;</w:t>
      </w:r>
    </w:p>
    <w:p w14:paraId="24A634D0" w14:textId="1ED26C80" w:rsidR="00E50242" w:rsidRPr="001A6A7F" w:rsidRDefault="00E50242" w:rsidP="00D372E7">
      <w:pPr>
        <w:spacing w:before="240" w:after="240"/>
        <w:ind w:left="1418" w:hanging="851"/>
        <w:rPr>
          <w:rFonts w:eastAsia="Times New Roman" w:cs="Times New Roman"/>
          <w:color w:val="000000"/>
          <w:szCs w:val="18"/>
          <w:lang w:eastAsia="en-GB"/>
        </w:rPr>
      </w:pPr>
      <w:r w:rsidRPr="00E50242">
        <w:rPr>
          <w:rFonts w:eastAsia="Times New Roman" w:cs="Times New Roman"/>
          <w:color w:val="000000"/>
          <w:szCs w:val="18"/>
          <w:lang w:eastAsia="en-GB"/>
        </w:rPr>
        <w:lastRenderedPageBreak/>
        <w:t>ii)</w:t>
      </w:r>
      <w:r w:rsidRPr="00E50242">
        <w:rPr>
          <w:rFonts w:eastAsia="Times New Roman" w:cs="Times New Roman"/>
          <w:color w:val="000000"/>
          <w:szCs w:val="18"/>
          <w:lang w:eastAsia="en-GB"/>
        </w:rPr>
        <w:tab/>
        <w:t>en circunstancias excepcionales, el territorio de un Miembro podrá estar dividido, a los efectos de la producción de que se trate, en dos o más mercados competidores y los productores de cada mercado podrán ser considerados como una rama de producción distinta si:</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a) los productores de ese mercado venden la totalidad o la casi totalidad de su producción del producto de que se trate en ese mercado, y b)</w:t>
      </w:r>
      <w:r w:rsidR="006F10F5">
        <w:rPr>
          <w:rFonts w:eastAsia="Times New Roman" w:cs="Times New Roman"/>
          <w:color w:val="000000"/>
          <w:szCs w:val="18"/>
          <w:lang w:eastAsia="en-GB"/>
        </w:rPr>
        <w:t> </w:t>
      </w:r>
      <w:r w:rsidRPr="00E50242">
        <w:rPr>
          <w:rFonts w:eastAsia="Times New Roman" w:cs="Times New Roman"/>
          <w:color w:val="000000"/>
          <w:szCs w:val="18"/>
          <w:lang w:eastAsia="en-GB"/>
        </w:rPr>
        <w:t>en ese mercado la demanda no está cubierta en grado sustancial por productores del producto de que se trate situados en otro lugar del territorio.</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En estas circunstancias, se podrá considerar que existe daño incluso cuando no resulte perjudicada una porción importante de la rama de producción nacional total siempre que haya una concentración de importaciones objeto de dumping en ese mercado aislado y que, además, las importaciones objeto de dumping causen daño a los productores de la totalidad o la casi totalidad de la producción en ese mercado.</w:t>
      </w:r>
    </w:p>
    <w:p w14:paraId="45F5118B" w14:textId="13F27F4B"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4.2</w:t>
      </w:r>
      <w:r w:rsidRPr="00E50242">
        <w:rPr>
          <w:rFonts w:eastAsia="Times New Roman" w:cs="Times New Roman"/>
          <w:color w:val="000000"/>
          <w:szCs w:val="18"/>
          <w:lang w:eastAsia="en-GB"/>
        </w:rPr>
        <w:tab/>
        <w:t>Cuando se haya interpretado que "rama de producción nacional" se refiere a los productores de cierta zona, es decir, un mercado según la definición del párrafo 1, apartado ii), los derechos antidumping sólo se percibirán</w:t>
      </w:r>
      <w:r w:rsidRPr="00E50242">
        <w:rPr>
          <w:rFonts w:eastAsia="Times New Roman" w:cs="Times New Roman"/>
          <w:color w:val="000000"/>
          <w:szCs w:val="18"/>
          <w:vertAlign w:val="superscript"/>
          <w:lang w:eastAsia="en-GB"/>
        </w:rPr>
        <w:footnoteReference w:id="12"/>
      </w:r>
      <w:r w:rsidRPr="00E50242">
        <w:rPr>
          <w:rFonts w:eastAsia="Times New Roman" w:cs="Times New Roman"/>
          <w:color w:val="000000"/>
          <w:szCs w:val="18"/>
          <w:lang w:eastAsia="en-GB"/>
        </w:rPr>
        <w:t xml:space="preserve"> sobre los productos de que se trate que vayan consignados a esa zona para consumo final.</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Cuando el derecho constitucional del Miembro importador no permita la percepción de derechos antidumping en estas condiciones, el Miembro importador podrá percibir sin limitación los derechos antidumping solamente si:</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a) se ha dado a los exportadores la oportunidad de dejar de exportar a precios de dumping a la zona de que se trate o de dar seguridades con arreglo al artículo</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8 y no se han dado prontamente seguridades suficientes a este respecto, y si b) dichos derechos no se pueden percibir únicamente sobre los productos de productores determinados que abastezcan la zona en cuestión.</w:t>
      </w:r>
    </w:p>
    <w:p w14:paraId="0099FE7D" w14:textId="76FA621B"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4.3</w:t>
      </w:r>
      <w:r w:rsidRPr="00E50242">
        <w:rPr>
          <w:rFonts w:eastAsia="Times New Roman" w:cs="Times New Roman"/>
          <w:color w:val="000000"/>
          <w:szCs w:val="18"/>
          <w:lang w:eastAsia="en-GB"/>
        </w:rPr>
        <w:tab/>
        <w:t>Cuando dos o más países hayan alcanzado, de conformidad con las</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disposiciones del apartado a) del párrafo 8 del artículo XXIV del GATT de 1994, un grado de integración tal que ofrezcan las características de un solo mercado unificado, se considerará que la rama de producción de toda la zona integrada es la rama de producción nacional a que se refiere el párrafo 1.</w:t>
      </w:r>
    </w:p>
    <w:p w14:paraId="4859DCCC" w14:textId="77777777"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4.4</w:t>
      </w:r>
      <w:r w:rsidRPr="00E50242">
        <w:rPr>
          <w:rFonts w:eastAsia="Times New Roman" w:cs="Times New Roman"/>
          <w:color w:val="000000"/>
          <w:szCs w:val="18"/>
          <w:lang w:eastAsia="en-GB"/>
        </w:rPr>
        <w:tab/>
        <w:t>Las disposiciones del párrafo 6 del artículo 3 serán aplicables al presente artículo.</w:t>
      </w:r>
    </w:p>
    <w:p w14:paraId="364461E1" w14:textId="77777777" w:rsidR="00E50242" w:rsidRPr="006C4965" w:rsidRDefault="00E50242" w:rsidP="006461D4">
      <w:pPr>
        <w:spacing w:after="240"/>
        <w:jc w:val="center"/>
        <w:rPr>
          <w:rFonts w:eastAsia="Times New Roman" w:cs="Times New Roman"/>
          <w:color w:val="000000"/>
          <w:szCs w:val="18"/>
          <w:lang w:eastAsia="en-GB"/>
        </w:rPr>
      </w:pPr>
      <w:r w:rsidRPr="006C4965">
        <w:rPr>
          <w:rFonts w:eastAsia="Times New Roman" w:cs="Times New Roman"/>
          <w:i/>
          <w:color w:val="000000"/>
          <w:szCs w:val="18"/>
          <w:lang w:eastAsia="en-GB"/>
        </w:rPr>
        <w:t>Artículo 5</w:t>
      </w:r>
    </w:p>
    <w:p w14:paraId="59EF604D" w14:textId="77777777" w:rsidR="00E50242" w:rsidRPr="001A6A7F" w:rsidRDefault="00E50242" w:rsidP="00E50242">
      <w:pPr>
        <w:spacing w:after="240"/>
        <w:jc w:val="center"/>
        <w:rPr>
          <w:rFonts w:eastAsia="Times New Roman" w:cs="Times New Roman"/>
          <w:color w:val="000000"/>
          <w:szCs w:val="18"/>
          <w:lang w:eastAsia="en-GB"/>
        </w:rPr>
      </w:pPr>
      <w:r w:rsidRPr="00E50242">
        <w:rPr>
          <w:rFonts w:eastAsia="Times New Roman" w:cs="Times New Roman"/>
          <w:i/>
          <w:color w:val="000000"/>
          <w:szCs w:val="18"/>
          <w:lang w:eastAsia="en-GB"/>
        </w:rPr>
        <w:t>Iniciación y procedimiento de la investigación</w:t>
      </w:r>
    </w:p>
    <w:p w14:paraId="08A35334" w14:textId="7B20CB01"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5.1</w:t>
      </w:r>
      <w:r w:rsidRPr="00E50242">
        <w:rPr>
          <w:rFonts w:eastAsia="Times New Roman" w:cs="Times New Roman"/>
          <w:color w:val="000000"/>
          <w:szCs w:val="18"/>
          <w:lang w:eastAsia="en-GB"/>
        </w:rPr>
        <w:tab/>
        <w:t>Salvo en el caso previsto en el párrafo 6, las investigaciones encaminadas a determinar la existencia, el grado y los efectos de un supuesto dumping se iniciarán previa solicitud escrita hecha por la rama de producción nacional o en nombre de ella.</w:t>
      </w:r>
    </w:p>
    <w:p w14:paraId="46819049" w14:textId="18BEE94F"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5.2</w:t>
      </w:r>
      <w:r w:rsidRPr="00E50242">
        <w:rPr>
          <w:rFonts w:eastAsia="Times New Roman" w:cs="Times New Roman"/>
          <w:color w:val="000000"/>
          <w:szCs w:val="18"/>
          <w:lang w:eastAsia="en-GB"/>
        </w:rPr>
        <w:tab/>
        <w:t>Con la solicitud a que se hace referencia en el párrafo 1 se incluirán pruebas de la existencia de:</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a) dumping;</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b) un daño en el sentido del artículo VI del GATT de 1994 según se interpreta en el presente Acuerdo y c) una relación causal entre las importaciones objeto de dumping y el supuesto daño.</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No podrá considerarse que para cumplir los requisitos fijados en el presente párrafo basta una simple afirmación no apoyada por las pruebas pertinentes.</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La solicitud contendrá la información que razonablemente tenga a su alcance el solicitante sobre los siguientes puntos:</w:t>
      </w:r>
    </w:p>
    <w:p w14:paraId="6D2F93D1" w14:textId="6D7CD298" w:rsidR="00E50242" w:rsidRPr="001A6A7F" w:rsidRDefault="00E50242" w:rsidP="0039151F">
      <w:pPr>
        <w:spacing w:after="240"/>
        <w:ind w:left="1418" w:hanging="851"/>
        <w:rPr>
          <w:rFonts w:eastAsia="Times New Roman" w:cs="Times New Roman"/>
          <w:color w:val="000000"/>
          <w:szCs w:val="18"/>
          <w:lang w:eastAsia="en-GB"/>
        </w:rPr>
      </w:pPr>
      <w:r w:rsidRPr="00E50242">
        <w:rPr>
          <w:rFonts w:eastAsia="Times New Roman" w:cs="Times New Roman"/>
          <w:color w:val="000000"/>
          <w:szCs w:val="18"/>
          <w:lang w:eastAsia="en-GB"/>
        </w:rPr>
        <w:t>i)</w:t>
      </w:r>
      <w:r w:rsidRPr="00E50242">
        <w:rPr>
          <w:rFonts w:eastAsia="Times New Roman" w:cs="Times New Roman"/>
          <w:color w:val="000000"/>
          <w:szCs w:val="18"/>
          <w:lang w:eastAsia="en-GB"/>
        </w:rPr>
        <w:tab/>
        <w:t>identidad del solicitante y descripción realizada por el mismo del volumen y valor de la producción nacional del producto similar.</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Cuando la solicitud escrita se presente en nombre de la rama de producción nacional, en ella se identificará la rama de producción en cuyo nombre se haga la solicitud por medio de una lista de todos los productores nacionales del producto similar conocidos (o de las asociaciones de productores nacionales del producto similar) y, en la medida posible, se facilitará una descripción del volumen y valor de la producción nacional del producto similar que representen dichos productores;</w:t>
      </w:r>
    </w:p>
    <w:p w14:paraId="12CC14AC" w14:textId="1CB0B708" w:rsidR="00E50242" w:rsidRPr="001A6A7F" w:rsidRDefault="00E50242" w:rsidP="008B053C">
      <w:pPr>
        <w:keepLines/>
        <w:spacing w:after="240"/>
        <w:ind w:left="1418" w:hanging="851"/>
        <w:rPr>
          <w:rFonts w:eastAsia="Times New Roman" w:cs="Times New Roman"/>
          <w:color w:val="000000"/>
          <w:szCs w:val="18"/>
          <w:lang w:eastAsia="en-GB"/>
        </w:rPr>
      </w:pPr>
      <w:r w:rsidRPr="00E50242">
        <w:rPr>
          <w:rFonts w:eastAsia="Times New Roman" w:cs="Times New Roman"/>
          <w:color w:val="000000"/>
          <w:szCs w:val="18"/>
          <w:lang w:eastAsia="en-GB"/>
        </w:rPr>
        <w:lastRenderedPageBreak/>
        <w:t>ii)</w:t>
      </w:r>
      <w:r w:rsidRPr="00E50242">
        <w:rPr>
          <w:rFonts w:eastAsia="Times New Roman" w:cs="Times New Roman"/>
          <w:color w:val="000000"/>
          <w:szCs w:val="18"/>
          <w:lang w:eastAsia="en-GB"/>
        </w:rPr>
        <w:tab/>
        <w:t>una descripción completa del producto presuntamente objeto de dumping, los nombres del país o países de origen o exportación de que se trate, la identidad de cada exportador o productor extranjero conocido y una lista de las personas que se sepa importan el producto de que se trate;</w:t>
      </w:r>
    </w:p>
    <w:p w14:paraId="09465F57" w14:textId="5BE15CC3" w:rsidR="00E50242" w:rsidRPr="001A6A7F" w:rsidRDefault="00E50242" w:rsidP="00B52FDB">
      <w:pPr>
        <w:spacing w:after="240"/>
        <w:ind w:left="1418" w:hanging="851"/>
        <w:rPr>
          <w:rFonts w:eastAsia="Times New Roman" w:cs="Times New Roman"/>
          <w:color w:val="000000"/>
          <w:szCs w:val="18"/>
          <w:lang w:eastAsia="en-GB"/>
        </w:rPr>
      </w:pPr>
      <w:r w:rsidRPr="00E50242">
        <w:rPr>
          <w:rFonts w:eastAsia="Times New Roman" w:cs="Times New Roman"/>
          <w:color w:val="000000"/>
          <w:szCs w:val="18"/>
          <w:lang w:eastAsia="en-GB"/>
        </w:rPr>
        <w:t>iii)</w:t>
      </w:r>
      <w:r w:rsidRPr="00E50242">
        <w:rPr>
          <w:rFonts w:eastAsia="Times New Roman" w:cs="Times New Roman"/>
          <w:color w:val="000000"/>
          <w:szCs w:val="18"/>
          <w:lang w:eastAsia="en-GB"/>
        </w:rPr>
        <w:tab/>
        <w:t>datos sobre los precios a los que se vende el producto de que se trate cuando se destina al consumo en los mercados internos del país o países de origen o de exportación (o, cuando proceda, datos sobre los precios a los que se venda el producto desde el país o países de origen o de exportación a un tercer país o a terceros países, o sobre el valor reconstruido del producto) así como sobre los precios de exportación o, cuando proceda, sobre los precios a los que el producto se revenda por primera vez a un comprador independiente en el territorio del Miembro importador;</w:t>
      </w:r>
    </w:p>
    <w:p w14:paraId="658FF822" w14:textId="43D99439" w:rsidR="00E50242" w:rsidRPr="001A6A7F" w:rsidRDefault="00E50242" w:rsidP="00B52FDB">
      <w:pPr>
        <w:spacing w:after="240"/>
        <w:ind w:left="1418" w:hanging="851"/>
        <w:rPr>
          <w:rFonts w:eastAsia="Times New Roman" w:cs="Times New Roman"/>
          <w:color w:val="000000"/>
          <w:szCs w:val="18"/>
          <w:lang w:eastAsia="en-GB"/>
        </w:rPr>
      </w:pPr>
      <w:r w:rsidRPr="00E50242">
        <w:rPr>
          <w:rFonts w:eastAsia="Times New Roman" w:cs="Times New Roman"/>
          <w:color w:val="000000"/>
          <w:szCs w:val="18"/>
          <w:lang w:eastAsia="en-GB"/>
        </w:rPr>
        <w:t>iv)</w:t>
      </w:r>
      <w:r w:rsidRPr="00E50242">
        <w:rPr>
          <w:rFonts w:eastAsia="Times New Roman" w:cs="Times New Roman"/>
          <w:color w:val="000000"/>
          <w:szCs w:val="18"/>
          <w:lang w:eastAsia="en-GB"/>
        </w:rPr>
        <w:tab/>
        <w:t>datos sobre la evolución del volumen de las importaciones supuestamente objeto de dumping, el efecto de esas importaciones en los precios del producto similar en el mercado interno y la consiguiente repercusión de las importaciones en la rama de producción nacional, según vengan demostrados por los factores e índices pertinentes que influyan en el estado de la rama de producción nacional, tales como los enumerados en los párrafos 2 y 4 del artículo 3.</w:t>
      </w:r>
    </w:p>
    <w:p w14:paraId="2B3C44C0" w14:textId="77777777"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5.3</w:t>
      </w:r>
      <w:r w:rsidRPr="00E50242">
        <w:rPr>
          <w:rFonts w:eastAsia="Times New Roman" w:cs="Times New Roman"/>
          <w:color w:val="000000"/>
          <w:szCs w:val="18"/>
          <w:lang w:eastAsia="en-GB"/>
        </w:rPr>
        <w:tab/>
        <w:t>Las autoridades examinarán la exactitud y pertinencia de las pruebas presentadas con la solicitud para determinar si existen pruebas suficientes que justifiquen la iniciación de una investigación.</w:t>
      </w:r>
    </w:p>
    <w:p w14:paraId="4FF2011A" w14:textId="590A2BFF"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5.4</w:t>
      </w:r>
      <w:r w:rsidRPr="00E50242">
        <w:rPr>
          <w:rFonts w:eastAsia="Times New Roman" w:cs="Times New Roman"/>
          <w:color w:val="000000"/>
          <w:szCs w:val="18"/>
          <w:lang w:eastAsia="en-GB"/>
        </w:rPr>
        <w:tab/>
        <w:t>No se iniciará una investigación de conformidad con el párrafo 1 si las autoridades no han determinado, basándose en el examen del grado de apoyo o de oposición a la solicitud expresado</w:t>
      </w:r>
      <w:r w:rsidRPr="00E50242">
        <w:rPr>
          <w:rFonts w:eastAsia="Times New Roman" w:cs="Times New Roman"/>
          <w:color w:val="000000"/>
          <w:szCs w:val="18"/>
          <w:vertAlign w:val="superscript"/>
          <w:lang w:eastAsia="en-GB"/>
        </w:rPr>
        <w:footnoteReference w:id="13"/>
      </w:r>
      <w:r w:rsidRPr="00E50242">
        <w:rPr>
          <w:rFonts w:eastAsia="Times New Roman" w:cs="Times New Roman"/>
          <w:color w:val="000000"/>
          <w:szCs w:val="18"/>
          <w:lang w:eastAsia="en-GB"/>
        </w:rPr>
        <w:t xml:space="preserve"> por los productores nacionales del producto similar, que la solicitud ha sido hecha por o en nombre de la rama de producción nacional.</w:t>
      </w:r>
      <w:r w:rsidRPr="00E50242">
        <w:rPr>
          <w:rFonts w:eastAsia="Times New Roman" w:cs="Times New Roman"/>
          <w:color w:val="000000"/>
          <w:szCs w:val="18"/>
          <w:vertAlign w:val="superscript"/>
          <w:lang w:eastAsia="en-GB"/>
        </w:rPr>
        <w:footnoteReference w:id="14"/>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La solicitud se considerará hecha "por la rama de producción nacional o en nombre de ella" cuando esté apoyada por productores nacionales cuya producción conjunta represente más del 50 por ciento de la producción total del producto similar producido por la parte de la rama de producción nacional que manifieste su apoyo o su oposición a la solicitud.</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No obstante, no se iniciará ninguna investigación cuando los productores nacionales que apoyen expresamente la solicitud representen menos del 25 por ciento de la producción total del producto similar producido por la rama de producción nacional.</w:t>
      </w:r>
    </w:p>
    <w:p w14:paraId="1A77F781" w14:textId="3220E78B"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5.5</w:t>
      </w:r>
      <w:r w:rsidRPr="00E50242">
        <w:rPr>
          <w:rFonts w:eastAsia="Times New Roman" w:cs="Times New Roman"/>
          <w:color w:val="000000"/>
          <w:szCs w:val="18"/>
          <w:lang w:eastAsia="en-GB"/>
        </w:rPr>
        <w:tab/>
        <w:t>A menos que se haya adoptado la decisión de iniciar una investigación, las autoridades evitarán toda publicidad acerca de la solicitud de iniciación de una investigación.</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No obstante, después de recibir una solicitud debidamente documentada y antes de proceder a iniciar la investigación, las autoridades lo notificarán al gobierno del Miembro exportador interesado.</w:t>
      </w:r>
    </w:p>
    <w:p w14:paraId="5DA0426D" w14:textId="7646C7F9"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5.6</w:t>
      </w:r>
      <w:r w:rsidRPr="00E50242">
        <w:rPr>
          <w:rFonts w:eastAsia="Times New Roman" w:cs="Times New Roman"/>
          <w:color w:val="000000"/>
          <w:szCs w:val="18"/>
          <w:lang w:eastAsia="en-GB"/>
        </w:rPr>
        <w:tab/>
        <w:t>Si, en circunstancias especiales, la autoridad competente decidiera iniciar una investigación sin haber recibido una solicitud escrita hecha por la rama de producción nacional o en nombre de ella para que se inicie dicha investigación, sólo la llevará adelante cuando tenga pruebas suficientes del dumping, del daño y de la relación causal, conforme a lo indicado</w:t>
      </w:r>
      <w:r w:rsidRPr="00E50242">
        <w:rPr>
          <w:rFonts w:eastAsia="Times New Roman" w:cs="Times New Roman"/>
          <w:i/>
          <w:color w:val="000000"/>
          <w:szCs w:val="18"/>
          <w:lang w:eastAsia="en-GB"/>
        </w:rPr>
        <w:t xml:space="preserve"> </w:t>
      </w:r>
      <w:r w:rsidRPr="00E50242">
        <w:rPr>
          <w:rFonts w:eastAsia="Times New Roman" w:cs="Times New Roman"/>
          <w:color w:val="000000"/>
          <w:szCs w:val="18"/>
          <w:lang w:eastAsia="en-GB"/>
        </w:rPr>
        <w:t>en el párrafo 2, que justifiquen la iniciación de una investigación.</w:t>
      </w:r>
    </w:p>
    <w:p w14:paraId="5CA3EF52" w14:textId="73067262"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5.7</w:t>
      </w:r>
      <w:r w:rsidRPr="00E50242">
        <w:rPr>
          <w:rFonts w:eastAsia="Times New Roman" w:cs="Times New Roman"/>
          <w:color w:val="000000"/>
          <w:szCs w:val="18"/>
          <w:lang w:eastAsia="en-GB"/>
        </w:rPr>
        <w:tab/>
        <w:t>Las pruebas de la existencia del dumping y del daño se examinarán simultáneamente:</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a) en el momento de decidir si se inicia o no una investigación y b) posteriormente, en el curso de la investigación, a partir de una fecha que no será posterior al primer día en que, de conformidad con las disposiciones del presente Acuerdo, puedan aplicarse medidas provisionales.</w:t>
      </w:r>
    </w:p>
    <w:p w14:paraId="477963EE" w14:textId="561C04B6"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5.8</w:t>
      </w:r>
      <w:r w:rsidRPr="00E50242">
        <w:rPr>
          <w:rFonts w:eastAsia="Times New Roman" w:cs="Times New Roman"/>
          <w:color w:val="000000"/>
          <w:szCs w:val="18"/>
          <w:lang w:eastAsia="en-GB"/>
        </w:rPr>
        <w:tab/>
        <w:t>La autoridad competente rechazará la solicitud presentada con arreglo al párrafo 1 y pondrá fin a la investigación sin demora en cuanto se haya cerciorado de que no existen pruebas suficientes del dumping o del daño que justifiquen la continuación del procedimiento relativo al caso.</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 xml:space="preserve">Cuando </w:t>
      </w:r>
      <w:r w:rsidRPr="00E50242">
        <w:rPr>
          <w:rFonts w:eastAsia="Times New Roman" w:cs="Times New Roman"/>
          <w:color w:val="000000"/>
          <w:szCs w:val="18"/>
          <w:lang w:eastAsia="en-GB"/>
        </w:rPr>
        <w:lastRenderedPageBreak/>
        <w:t xml:space="preserve">la autoridad determine que el margen de dumping es </w:t>
      </w:r>
      <w:r w:rsidRPr="00E50242">
        <w:rPr>
          <w:rFonts w:eastAsia="Times New Roman" w:cs="Times New Roman"/>
          <w:i/>
          <w:color w:val="000000"/>
          <w:szCs w:val="18"/>
          <w:lang w:eastAsia="en-GB"/>
        </w:rPr>
        <w:t>de minimis</w:t>
      </w:r>
      <w:r w:rsidRPr="00E50242">
        <w:rPr>
          <w:rFonts w:eastAsia="Times New Roman" w:cs="Times New Roman"/>
          <w:color w:val="000000"/>
          <w:szCs w:val="18"/>
          <w:lang w:eastAsia="en-GB"/>
        </w:rPr>
        <w:t>, o que el volumen de las importaciones reales o potenciales objeto de dumping o el daño son insignificantes, se pondrá inmediatamente fin a la investigación.</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 xml:space="preserve">Se considerará </w:t>
      </w:r>
      <w:r w:rsidRPr="00E50242">
        <w:rPr>
          <w:rFonts w:eastAsia="Times New Roman" w:cs="Times New Roman"/>
          <w:i/>
          <w:color w:val="000000"/>
          <w:szCs w:val="18"/>
          <w:lang w:eastAsia="en-GB"/>
        </w:rPr>
        <w:t>de minimis</w:t>
      </w:r>
      <w:r w:rsidRPr="00E50242">
        <w:rPr>
          <w:lang w:eastAsia="en-GB"/>
        </w:rPr>
        <w:t xml:space="preserve"> </w:t>
      </w:r>
      <w:r w:rsidRPr="00E50242">
        <w:rPr>
          <w:rFonts w:eastAsia="Times New Roman" w:cs="Times New Roman"/>
          <w:color w:val="000000"/>
          <w:szCs w:val="18"/>
          <w:lang w:eastAsia="en-GB"/>
        </w:rPr>
        <w:t>el margen de dumping cuando sea inferior al 2</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por ciento, expresado como porcentaje del precio de exportación.</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Normalmente se considerará insignificante el volumen de las importaciones objeto de dumping cuando se establezca que las procedentes de un determinado país representan menos del 3 por ciento de las importaciones del producto similar en el Miembro importador, salvo que los países que individualmente representan menos del 3 por ciento de las importaciones del producto similar en el Miembro importador representen en conjunto más del 7</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por ciento de esas importaciones.</w:t>
      </w:r>
    </w:p>
    <w:p w14:paraId="4A25FA17" w14:textId="77777777"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5.9</w:t>
      </w:r>
      <w:r w:rsidRPr="00E50242">
        <w:rPr>
          <w:rFonts w:eastAsia="Times New Roman" w:cs="Times New Roman"/>
          <w:color w:val="000000"/>
          <w:szCs w:val="18"/>
          <w:lang w:eastAsia="en-GB"/>
        </w:rPr>
        <w:tab/>
        <w:t>El procedimiento antidumping no será obstáculo para el despacho de aduana.</w:t>
      </w:r>
    </w:p>
    <w:p w14:paraId="2409E60F" w14:textId="77777777"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5.10</w:t>
      </w:r>
      <w:r w:rsidRPr="00E50242">
        <w:rPr>
          <w:rFonts w:eastAsia="Times New Roman" w:cs="Times New Roman"/>
          <w:color w:val="000000"/>
          <w:szCs w:val="18"/>
          <w:lang w:eastAsia="en-GB"/>
        </w:rPr>
        <w:tab/>
        <w:t>Salvo en circunstancias excepcionales, las investigaciones deberán haber concluido dentro de un año, y en todo caso en un plazo de 18 meses, contados a partir de su iniciación.</w:t>
      </w:r>
    </w:p>
    <w:p w14:paraId="61311B50" w14:textId="77777777" w:rsidR="00E50242" w:rsidRPr="006C4965" w:rsidRDefault="00E50242" w:rsidP="006461D4">
      <w:pPr>
        <w:spacing w:after="240"/>
        <w:jc w:val="center"/>
        <w:rPr>
          <w:rFonts w:eastAsia="Times New Roman" w:cs="Times New Roman"/>
          <w:color w:val="000000"/>
          <w:szCs w:val="18"/>
          <w:lang w:eastAsia="en-GB"/>
        </w:rPr>
      </w:pPr>
      <w:r w:rsidRPr="006C4965">
        <w:rPr>
          <w:rFonts w:eastAsia="Times New Roman" w:cs="Times New Roman"/>
          <w:i/>
          <w:color w:val="000000"/>
          <w:szCs w:val="18"/>
          <w:lang w:eastAsia="en-GB"/>
        </w:rPr>
        <w:t>Artículo 6</w:t>
      </w:r>
    </w:p>
    <w:p w14:paraId="5AF483E1" w14:textId="77777777" w:rsidR="00E50242" w:rsidRPr="001A6A7F" w:rsidRDefault="00E50242" w:rsidP="00E50242">
      <w:pPr>
        <w:spacing w:after="240"/>
        <w:jc w:val="center"/>
        <w:rPr>
          <w:rFonts w:eastAsia="Times New Roman" w:cs="Times New Roman"/>
          <w:color w:val="000000"/>
          <w:szCs w:val="18"/>
          <w:lang w:eastAsia="en-GB"/>
        </w:rPr>
      </w:pPr>
      <w:r w:rsidRPr="00E50242">
        <w:rPr>
          <w:rFonts w:eastAsia="Times New Roman" w:cs="Times New Roman"/>
          <w:i/>
          <w:color w:val="000000"/>
          <w:szCs w:val="18"/>
          <w:lang w:eastAsia="en-GB"/>
        </w:rPr>
        <w:t>Pruebas</w:t>
      </w:r>
    </w:p>
    <w:p w14:paraId="11147E21" w14:textId="77777777"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6.1</w:t>
      </w:r>
      <w:r w:rsidRPr="00E50242">
        <w:rPr>
          <w:rFonts w:eastAsia="Times New Roman" w:cs="Times New Roman"/>
          <w:color w:val="000000"/>
          <w:szCs w:val="18"/>
          <w:lang w:eastAsia="en-GB"/>
        </w:rPr>
        <w:tab/>
        <w:t>Se dará a todas las partes interesadas en una investigación antidumping aviso de la información que exijan las autoridades y amplia oportunidad para presentar por escrito todas las pruebas que consideren pertinentes por lo que se refiere a la investigación de que se trate.</w:t>
      </w:r>
    </w:p>
    <w:p w14:paraId="1C9DF4D5" w14:textId="1C3600D9" w:rsidR="00E50242" w:rsidRPr="001A6A7F" w:rsidRDefault="00E50242" w:rsidP="00382AF2">
      <w:pPr>
        <w:spacing w:after="240"/>
        <w:ind w:left="1418" w:hanging="851"/>
        <w:rPr>
          <w:lang w:eastAsia="en-GB"/>
        </w:rPr>
      </w:pPr>
      <w:r w:rsidRPr="00E50242">
        <w:rPr>
          <w:lang w:eastAsia="en-GB"/>
        </w:rPr>
        <w:t>6.1.1</w:t>
      </w:r>
      <w:r w:rsidRPr="00E50242">
        <w:rPr>
          <w:lang w:eastAsia="en-GB"/>
        </w:rPr>
        <w:tab/>
        <w:t>Se dará a los exportadores o a los productores extranjeros a quienes se envíen los cuestionarios utilizados en una investigación antidumping un plazo de 30 días como mínimo para la respuesta.</w:t>
      </w:r>
      <w:r w:rsidRPr="00E50242">
        <w:rPr>
          <w:vertAlign w:val="superscript"/>
          <w:lang w:eastAsia="en-GB"/>
        </w:rPr>
        <w:footnoteReference w:id="15"/>
      </w:r>
      <w:r w:rsidR="001A6A7F" w:rsidRPr="001A6A7F">
        <w:rPr>
          <w:lang w:eastAsia="en-GB"/>
        </w:rPr>
        <w:t xml:space="preserve"> </w:t>
      </w:r>
      <w:r w:rsidRPr="00E50242">
        <w:rPr>
          <w:lang w:eastAsia="en-GB"/>
        </w:rPr>
        <w:t>Se deberá atender debidamente toda solicitud de prórroga del plazo de 30 días y, sobre la base de la justificación aducida, deberá concederse dicha prórroga cada vez que sea factible.</w:t>
      </w:r>
    </w:p>
    <w:p w14:paraId="3FA5A7B1" w14:textId="5BA109B4" w:rsidR="00E50242" w:rsidRPr="001A6A7F" w:rsidRDefault="00E50242" w:rsidP="00382AF2">
      <w:pPr>
        <w:spacing w:after="240"/>
        <w:ind w:left="1418" w:hanging="851"/>
        <w:rPr>
          <w:rFonts w:eastAsia="Times New Roman" w:cs="Times New Roman"/>
          <w:color w:val="000000"/>
          <w:szCs w:val="18"/>
          <w:lang w:eastAsia="en-GB"/>
        </w:rPr>
      </w:pPr>
      <w:r w:rsidRPr="00E50242">
        <w:rPr>
          <w:rFonts w:eastAsia="Times New Roman" w:cs="Times New Roman"/>
          <w:color w:val="000000"/>
          <w:szCs w:val="18"/>
          <w:lang w:eastAsia="en-GB"/>
        </w:rPr>
        <w:t>6.1.2</w:t>
      </w:r>
      <w:r w:rsidRPr="00E50242">
        <w:rPr>
          <w:rFonts w:eastAsia="Times New Roman" w:cs="Times New Roman"/>
          <w:color w:val="000000"/>
          <w:szCs w:val="18"/>
          <w:lang w:eastAsia="en-GB"/>
        </w:rPr>
        <w:tab/>
        <w:t>A reserva de lo prescrito en cuanto a la protección de la información de carácter confidencial, las pruebas presentadas por escrito por una parte interesada se pondrán inmediatamente a disposición de las demás partes interesadas que intervengan en la investigación.</w:t>
      </w:r>
    </w:p>
    <w:p w14:paraId="2C3255D3" w14:textId="27DFFA44" w:rsidR="00E50242" w:rsidRPr="001A6A7F" w:rsidRDefault="00E50242" w:rsidP="00382AF2">
      <w:pPr>
        <w:spacing w:after="240"/>
        <w:ind w:left="1418" w:hanging="851"/>
        <w:rPr>
          <w:rFonts w:eastAsia="Times New Roman" w:cs="Times New Roman"/>
          <w:color w:val="000000"/>
          <w:szCs w:val="18"/>
          <w:lang w:eastAsia="en-GB"/>
        </w:rPr>
      </w:pPr>
      <w:r w:rsidRPr="00E50242">
        <w:rPr>
          <w:rFonts w:eastAsia="Times New Roman" w:cs="Times New Roman"/>
          <w:color w:val="000000"/>
          <w:szCs w:val="18"/>
          <w:lang w:eastAsia="en-GB"/>
        </w:rPr>
        <w:t>6.1.3</w:t>
      </w:r>
      <w:r w:rsidRPr="00E50242">
        <w:rPr>
          <w:rFonts w:eastAsia="Times New Roman" w:cs="Times New Roman"/>
          <w:color w:val="000000"/>
          <w:szCs w:val="18"/>
          <w:lang w:eastAsia="en-GB"/>
        </w:rPr>
        <w:tab/>
        <w:t>Tan pronto como se haya iniciado la investigación, las autoridades facilitarán a los exportadores que conozcan</w:t>
      </w:r>
      <w:r w:rsidRPr="00E50242">
        <w:rPr>
          <w:rFonts w:eastAsia="Times New Roman" w:cs="Times New Roman"/>
          <w:color w:val="000000"/>
          <w:szCs w:val="18"/>
          <w:vertAlign w:val="superscript"/>
          <w:lang w:eastAsia="en-GB"/>
        </w:rPr>
        <w:footnoteReference w:id="16"/>
      </w:r>
      <w:r w:rsidRPr="00E50242">
        <w:rPr>
          <w:rFonts w:eastAsia="Times New Roman" w:cs="Times New Roman"/>
          <w:color w:val="000000"/>
          <w:szCs w:val="18"/>
          <w:lang w:eastAsia="en-GB"/>
        </w:rPr>
        <w:t xml:space="preserve"> y a las autoridades del país exportador el texto completo de la solicitud escrita presentada de conformidad con el párrafo 1 del artículo 5 y lo pondrán a disposición de las otras partes interesadas intervinientes que lo soliciten.</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Se tendrá debidamente en cuenta lo prescrito en cuanto a la protección de la información confidencial, de conformidad con las disposiciones del párrafo 5.</w:t>
      </w:r>
    </w:p>
    <w:p w14:paraId="593AE104" w14:textId="211BF211"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6.2</w:t>
      </w:r>
      <w:r w:rsidRPr="00E50242">
        <w:rPr>
          <w:rFonts w:eastAsia="Times New Roman" w:cs="Times New Roman"/>
          <w:color w:val="000000"/>
          <w:szCs w:val="18"/>
          <w:lang w:eastAsia="en-GB"/>
        </w:rPr>
        <w:tab/>
        <w:t>Durante toda la investigación antidumping, todas las partes interesadas tendrán plena oportunidad de defender sus intereses.</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A este fin, las autoridades darán a todas las partes interesadas, previa solicitud, la oportunidad de reunirse con aquellas partes que tengan intereses contrarios para que puedan exponerse tesis opuestas y argumentos refutatorios.</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Al proporcionar esa oportunidad, se habrán de tener en cuenta la necesidad de salvaguardar el carácter confidencial de la información y la conveniencia de las partes.</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Ninguna parte estará obligada a asistir a una reunión, y su ausencia no irá en detrimento de su causa.</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Las partes interesadas tendrán también derecho, previa justificación, a presentar otras informaciones oralmente.</w:t>
      </w:r>
    </w:p>
    <w:p w14:paraId="56AEE489" w14:textId="77777777"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lastRenderedPageBreak/>
        <w:t>6.3</w:t>
      </w:r>
      <w:r w:rsidRPr="00E50242">
        <w:rPr>
          <w:rFonts w:eastAsia="Times New Roman" w:cs="Times New Roman"/>
          <w:color w:val="000000"/>
          <w:szCs w:val="18"/>
          <w:lang w:eastAsia="en-GB"/>
        </w:rPr>
        <w:tab/>
        <w:t>Las autoridades sólo tendrán en cuenta la información que se facilite oralmente a los efectos del párrafo 2 si a continuación ésta se reproduce por escrito y se pone a disposición de las demás partes interesadas, conforme a lo establecido en el apartado 1.2.</w:t>
      </w:r>
    </w:p>
    <w:p w14:paraId="34BCAE6E" w14:textId="77777777"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6.4</w:t>
      </w:r>
      <w:r w:rsidRPr="00E50242">
        <w:rPr>
          <w:rFonts w:eastAsia="Times New Roman" w:cs="Times New Roman"/>
          <w:color w:val="000000"/>
          <w:szCs w:val="18"/>
          <w:lang w:eastAsia="en-GB"/>
        </w:rPr>
        <w:tab/>
        <w:t>Las autoridades, siempre que sea factible, darán a su debido tiempo a todas las partes interesadas la oportunidad de examinar toda la información pertinente para la presentación de sus argumentos que no sea confidencial conforme a los términos del párrafo 5 y que dichas autoridades utilicen en la investigación antidumping, y de preparar su alegato sobre la base de esa información.</w:t>
      </w:r>
    </w:p>
    <w:p w14:paraId="55820F5A" w14:textId="03CF5053"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6.5</w:t>
      </w:r>
      <w:r w:rsidRPr="00E50242">
        <w:rPr>
          <w:rFonts w:eastAsia="Times New Roman" w:cs="Times New Roman"/>
          <w:color w:val="000000"/>
          <w:szCs w:val="18"/>
          <w:lang w:eastAsia="en-GB"/>
        </w:rPr>
        <w:tab/>
        <w:t>Toda información que, por su naturaleza, sea confidencial (por ejemplo, porque su divulgación implicaría una ventaja significativa para un competidor o tendría un efecto significativamente desfavorable para la persona que proporcione la información o para un tercero del que la haya recibido) o que las partes en una investigación antidumping faciliten con carácter confidencial será, previa justificación suficiente al respecto, tratada como tal por las autoridades.</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Dicha información no será revelada sin autorización expresa de la parte que la haya facilitado.</w:t>
      </w:r>
      <w:r w:rsidRPr="00E50242">
        <w:rPr>
          <w:rFonts w:eastAsia="Times New Roman" w:cs="Times New Roman"/>
          <w:color w:val="000000"/>
          <w:szCs w:val="18"/>
          <w:vertAlign w:val="superscript"/>
          <w:lang w:eastAsia="en-GB"/>
        </w:rPr>
        <w:footnoteReference w:id="17"/>
      </w:r>
    </w:p>
    <w:p w14:paraId="367C14DF" w14:textId="0CD8A7FD" w:rsidR="00E50242" w:rsidRPr="001A6A7F" w:rsidRDefault="00E50242" w:rsidP="00721078">
      <w:pPr>
        <w:spacing w:after="240"/>
        <w:ind w:left="1418" w:hanging="851"/>
        <w:rPr>
          <w:lang w:eastAsia="en-GB"/>
        </w:rPr>
      </w:pPr>
      <w:r w:rsidRPr="00E50242">
        <w:rPr>
          <w:lang w:eastAsia="en-GB"/>
        </w:rPr>
        <w:t>6.5.1</w:t>
      </w:r>
      <w:r w:rsidRPr="00E50242">
        <w:rPr>
          <w:lang w:eastAsia="en-GB"/>
        </w:rPr>
        <w:tab/>
        <w:t>Las autoridades exigirán a las partes interesadas que faciliten información confidencial que suministren resúmenes no confidenciales de la misma.</w:t>
      </w:r>
      <w:r w:rsidR="001A6A7F" w:rsidRPr="001A6A7F">
        <w:rPr>
          <w:lang w:eastAsia="en-GB"/>
        </w:rPr>
        <w:t xml:space="preserve"> </w:t>
      </w:r>
      <w:r w:rsidRPr="00E50242">
        <w:rPr>
          <w:lang w:eastAsia="en-GB"/>
        </w:rPr>
        <w:t>Tales resúmenes serán lo suficientemente detallados para permitir una comprensión razonable del contenido sustancial de la información facilitada con carácter confidencial.</w:t>
      </w:r>
      <w:r w:rsidR="001A6A7F" w:rsidRPr="001A6A7F">
        <w:rPr>
          <w:lang w:eastAsia="en-GB"/>
        </w:rPr>
        <w:t xml:space="preserve"> </w:t>
      </w:r>
      <w:r w:rsidRPr="00E50242">
        <w:rPr>
          <w:lang w:eastAsia="en-GB"/>
        </w:rPr>
        <w:t>En circunstancias excepcionales, esas partes podrán señalar que dicha información no puede ser resumida.</w:t>
      </w:r>
      <w:r w:rsidR="001A6A7F" w:rsidRPr="001A6A7F">
        <w:rPr>
          <w:lang w:eastAsia="en-GB"/>
        </w:rPr>
        <w:t xml:space="preserve"> </w:t>
      </w:r>
      <w:r w:rsidRPr="00E50242">
        <w:rPr>
          <w:lang w:eastAsia="en-GB"/>
        </w:rPr>
        <w:t>En tales circunstancias excepcionales, deberán exponer las razones por las que no es posible resumirla.</w:t>
      </w:r>
    </w:p>
    <w:p w14:paraId="277D6248" w14:textId="506A6FC8" w:rsidR="00E50242" w:rsidRPr="001A6A7F" w:rsidRDefault="00E50242" w:rsidP="00721078">
      <w:pPr>
        <w:spacing w:after="240"/>
        <w:ind w:left="1418" w:hanging="851"/>
        <w:rPr>
          <w:rFonts w:eastAsia="Times New Roman" w:cs="Times New Roman"/>
          <w:color w:val="000000"/>
          <w:szCs w:val="18"/>
          <w:lang w:eastAsia="en-GB"/>
        </w:rPr>
      </w:pPr>
      <w:r w:rsidRPr="00E50242">
        <w:rPr>
          <w:rFonts w:eastAsia="Times New Roman" w:cs="Times New Roman"/>
          <w:color w:val="000000"/>
          <w:szCs w:val="18"/>
          <w:lang w:eastAsia="en-GB"/>
        </w:rPr>
        <w:t>6.5.2</w:t>
      </w:r>
      <w:r w:rsidRPr="00E50242">
        <w:rPr>
          <w:rFonts w:eastAsia="Times New Roman" w:cs="Times New Roman"/>
          <w:color w:val="000000"/>
          <w:szCs w:val="18"/>
          <w:lang w:eastAsia="en-GB"/>
        </w:rPr>
        <w:tab/>
        <w:t>Si las autoridades concluyen que una petición de que se considere confidencial una información no está justificada, y si la persona que la haya proporcionado no quiere hacerla pública ni autorizar su divulgación en términos generales o resumidos, las autoridades podrán no tener en cuenta esa información, a menos que se les demuestre de manera convincente, de fuente apropiada, que la información es correcta.</w:t>
      </w:r>
      <w:r w:rsidRPr="00E50242">
        <w:rPr>
          <w:rFonts w:eastAsia="Times New Roman" w:cs="Times New Roman"/>
          <w:color w:val="000000"/>
          <w:szCs w:val="18"/>
          <w:vertAlign w:val="superscript"/>
          <w:lang w:eastAsia="en-GB"/>
        </w:rPr>
        <w:footnoteReference w:id="18"/>
      </w:r>
    </w:p>
    <w:p w14:paraId="24DB7BEA" w14:textId="6EB14B28"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6.6</w:t>
      </w:r>
      <w:r w:rsidRPr="00E50242">
        <w:rPr>
          <w:rFonts w:eastAsia="Times New Roman" w:cs="Times New Roman"/>
          <w:color w:val="000000"/>
          <w:szCs w:val="18"/>
          <w:lang w:eastAsia="en-GB"/>
        </w:rPr>
        <w:tab/>
        <w:t>Salvo en las circunstancias previstas en el párrafo 8, las autoridades, en el curso de la investigación, se cerciorarán de la exactitud de la información presentada por las partes interesadas en la que basen sus conclusiones.</w:t>
      </w:r>
    </w:p>
    <w:p w14:paraId="5648F8F4" w14:textId="229D2ADB"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6.7</w:t>
      </w:r>
      <w:r w:rsidRPr="00E50242">
        <w:rPr>
          <w:rFonts w:eastAsia="Times New Roman" w:cs="Times New Roman"/>
          <w:color w:val="000000"/>
          <w:szCs w:val="18"/>
          <w:lang w:eastAsia="en-GB"/>
        </w:rPr>
        <w:tab/>
        <w:t>Con el fin de verificar la información recibida, o de obtener más detalles, las autoridades podrán realizar investigaciones en el territorio de otros Miembros según sea necesario, siempre que obtengan la conformidad de las empresas interesadas y que lo notifiquen a los representantes del gobierno del Miembro de que se trate, y a condición de que este Miembro no se oponga a la investigación.</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En las investigaciones realizadas en el territorio de otros Miembros se seguirá el procedimiento descrito en el Anexo I.</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A reserva de lo prescrito en cuanto a la protección de la información confidencial, las autoridades pondrán los resultados de esas investigaciones a disposición de las empresas a las que se refieran, o les facilitarán información sobre ellos de conformidad con el párrafo 9, y podrán ponerlos a disposición de los solicitantes.</w:t>
      </w:r>
    </w:p>
    <w:p w14:paraId="791D2FBF" w14:textId="730458A0"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6.8</w:t>
      </w:r>
      <w:r w:rsidRPr="00E50242">
        <w:rPr>
          <w:rFonts w:eastAsia="Times New Roman" w:cs="Times New Roman"/>
          <w:color w:val="000000"/>
          <w:szCs w:val="18"/>
          <w:lang w:eastAsia="en-GB"/>
        </w:rPr>
        <w:tab/>
        <w:t>En los casos en que una parte interesada niegue el acceso a la información necesaria o no la facilite dentro de un plazo prudencial o entorpezca significativamente la investigación, podrán formularse determinaciones preliminares o definitivas, positivas o negativas, sobre la base de los hechos de que se tenga conocimiento.</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Al aplicar el presente párrafo se observará lo dispuesto en el Anexo II.</w:t>
      </w:r>
    </w:p>
    <w:p w14:paraId="5C8190B4" w14:textId="20756D4C"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6.9</w:t>
      </w:r>
      <w:r w:rsidRPr="00E50242">
        <w:rPr>
          <w:rFonts w:eastAsia="Times New Roman" w:cs="Times New Roman"/>
          <w:color w:val="000000"/>
          <w:szCs w:val="18"/>
          <w:lang w:eastAsia="en-GB"/>
        </w:rPr>
        <w:tab/>
        <w:t>Antes de formular una determinación definitiva, las autoridades informarán a todas las partes interesadas de los hechos esenciales considerados que sirvan de base para la decisión de aplicar o no medidas definitivas.</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Esa información deberá facilitarse a las partes con tiempo suficiente para que puedan defender sus intereses.</w:t>
      </w:r>
    </w:p>
    <w:p w14:paraId="1C92CCF8" w14:textId="07D4A2EF"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lastRenderedPageBreak/>
        <w:t>6.10</w:t>
      </w:r>
      <w:r w:rsidRPr="00E50242">
        <w:rPr>
          <w:rFonts w:eastAsia="Times New Roman" w:cs="Times New Roman"/>
          <w:color w:val="000000"/>
          <w:szCs w:val="18"/>
          <w:lang w:eastAsia="en-GB"/>
        </w:rPr>
        <w:tab/>
        <w:t>Por regla general, las autoridades determinarán el margen de dumping que corresponda a cada exportador o productor interesado del producto sujeto a investigación de que se tenga conocimiento.</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En los casos en que el número de exportadores, productores, importadores o tipos de productos sea tan grande que resulte imposible efectuar esa determinación, las autoridades podrán limitar su examen a un número prudencial de partes interesadas o de productos, utilizando muestras que sean estadísticamente válidas sobre la base de la información de que dispongan en el momento de la selección, o al mayor porcentaje del volumen de las exportaciones del país en cuestión que pueda razonablemente investigarse.</w:t>
      </w:r>
    </w:p>
    <w:p w14:paraId="67762180" w14:textId="642A61A2" w:rsidR="00E50242" w:rsidRPr="001A6A7F" w:rsidRDefault="00E50242" w:rsidP="00743EEA">
      <w:pPr>
        <w:spacing w:after="240"/>
        <w:ind w:left="1418" w:hanging="851"/>
        <w:rPr>
          <w:lang w:eastAsia="en-GB"/>
        </w:rPr>
      </w:pPr>
      <w:r w:rsidRPr="00E50242">
        <w:rPr>
          <w:lang w:eastAsia="en-GB"/>
        </w:rPr>
        <w:t>6.10.1</w:t>
      </w:r>
      <w:r w:rsidRPr="00E50242">
        <w:rPr>
          <w:lang w:eastAsia="en-GB"/>
        </w:rPr>
        <w:tab/>
        <w:t>Cualquier selección de exportadores, productores, importadores o tipos de productos con arreglo al presente párrafo se hará de preferencia en consulta con los exportadores, productores o importadores de que se trate y con su consentimiento.</w:t>
      </w:r>
    </w:p>
    <w:p w14:paraId="4CD2352F" w14:textId="380DC4D7" w:rsidR="00E50242" w:rsidRPr="001A6A7F" w:rsidRDefault="00E50242" w:rsidP="00743EEA">
      <w:pPr>
        <w:spacing w:after="240"/>
        <w:ind w:left="1418" w:hanging="851"/>
        <w:rPr>
          <w:rFonts w:eastAsia="Times New Roman" w:cs="Times New Roman"/>
          <w:color w:val="000000"/>
          <w:szCs w:val="18"/>
          <w:lang w:eastAsia="en-GB"/>
        </w:rPr>
      </w:pPr>
      <w:r w:rsidRPr="00E50242">
        <w:rPr>
          <w:rFonts w:eastAsia="Times New Roman" w:cs="Times New Roman"/>
          <w:color w:val="000000"/>
          <w:szCs w:val="18"/>
          <w:lang w:eastAsia="en-GB"/>
        </w:rPr>
        <w:t>6.10.2</w:t>
      </w:r>
      <w:r w:rsidRPr="00E50242">
        <w:rPr>
          <w:rFonts w:eastAsia="Times New Roman" w:cs="Times New Roman"/>
          <w:color w:val="000000"/>
          <w:szCs w:val="18"/>
          <w:lang w:eastAsia="en-GB"/>
        </w:rPr>
        <w:tab/>
        <w:t>En los casos en que hayan limitado su examen de conformidad con lo dispuesto en el presente párrafo, las autoridades determinarán, no obstante, el margen de dumping correspondiente a todo exportador o productor no seleccionado inicialmente que presente la información necesaria a tiempo para que sea considerada en el curso de la investigación, salvo que el número de exportadores o productores sea tan grande que los exámenes individuales resulten excesivamente gravosos para las autoridades e impidan concluir oportunamente la investigación.</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No se pondrán trabas a la presentación de respuestas voluntarias.</w:t>
      </w:r>
    </w:p>
    <w:p w14:paraId="73BBC4AD" w14:textId="77777777"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6.11</w:t>
      </w:r>
      <w:r w:rsidRPr="00E50242">
        <w:rPr>
          <w:rFonts w:eastAsia="Times New Roman" w:cs="Times New Roman"/>
          <w:color w:val="000000"/>
          <w:szCs w:val="18"/>
          <w:lang w:eastAsia="en-GB"/>
        </w:rPr>
        <w:tab/>
        <w:t>A los efectos del presente Acuerdo, se considerarán "partes interesadas":</w:t>
      </w:r>
    </w:p>
    <w:p w14:paraId="76CA20C3" w14:textId="48283893" w:rsidR="00E50242" w:rsidRPr="001A6A7F" w:rsidRDefault="00E50242" w:rsidP="003A6C6C">
      <w:pPr>
        <w:spacing w:after="240"/>
        <w:ind w:left="1418" w:hanging="851"/>
        <w:rPr>
          <w:lang w:eastAsia="en-GB"/>
        </w:rPr>
      </w:pPr>
      <w:r w:rsidRPr="00E50242">
        <w:rPr>
          <w:lang w:eastAsia="en-GB"/>
        </w:rPr>
        <w:t>i)</w:t>
      </w:r>
      <w:r w:rsidRPr="00E50242">
        <w:rPr>
          <w:lang w:eastAsia="en-GB"/>
        </w:rPr>
        <w:tab/>
        <w:t>los exportadores, los productores extranjeros o los importadores de un producto objeto de investigación, o las asociaciones mercantiles, gremiales o empresariales en las que la mayoría de los miembros sean productores, exportadores o importadores de ese producto;</w:t>
      </w:r>
    </w:p>
    <w:p w14:paraId="1D22A1AD" w14:textId="6B6B2A92" w:rsidR="00E50242" w:rsidRPr="001A6A7F" w:rsidRDefault="00E50242" w:rsidP="003A6C6C">
      <w:pPr>
        <w:spacing w:after="240"/>
        <w:ind w:left="1418" w:hanging="851"/>
        <w:rPr>
          <w:rFonts w:eastAsia="Times New Roman" w:cs="Times New Roman"/>
          <w:color w:val="000000"/>
          <w:szCs w:val="18"/>
          <w:lang w:eastAsia="en-GB"/>
        </w:rPr>
      </w:pPr>
      <w:r w:rsidRPr="00E50242">
        <w:rPr>
          <w:rFonts w:eastAsia="Times New Roman" w:cs="Times New Roman"/>
          <w:color w:val="000000"/>
          <w:szCs w:val="18"/>
          <w:lang w:eastAsia="en-GB"/>
        </w:rPr>
        <w:t>ii)</w:t>
      </w:r>
      <w:r w:rsidRPr="00E50242">
        <w:rPr>
          <w:rFonts w:eastAsia="Times New Roman" w:cs="Times New Roman"/>
          <w:color w:val="000000"/>
          <w:szCs w:val="18"/>
          <w:lang w:eastAsia="en-GB"/>
        </w:rPr>
        <w:tab/>
        <w:t>el gobierno del Miembro exportador;</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y</w:t>
      </w:r>
    </w:p>
    <w:p w14:paraId="48DCB20D" w14:textId="094D10F6" w:rsidR="00E50242" w:rsidRPr="001A6A7F" w:rsidRDefault="00E50242" w:rsidP="003A6C6C">
      <w:pPr>
        <w:spacing w:after="240"/>
        <w:ind w:left="1418" w:hanging="851"/>
        <w:rPr>
          <w:rFonts w:eastAsia="Times New Roman" w:cs="Times New Roman"/>
          <w:color w:val="000000"/>
          <w:szCs w:val="18"/>
          <w:lang w:eastAsia="en-GB"/>
        </w:rPr>
      </w:pPr>
      <w:r w:rsidRPr="00E50242">
        <w:rPr>
          <w:rFonts w:eastAsia="Times New Roman" w:cs="Times New Roman"/>
          <w:color w:val="000000"/>
          <w:szCs w:val="18"/>
          <w:lang w:eastAsia="en-GB"/>
        </w:rPr>
        <w:t>iii)</w:t>
      </w:r>
      <w:r w:rsidRPr="00E50242">
        <w:rPr>
          <w:rFonts w:eastAsia="Times New Roman" w:cs="Times New Roman"/>
          <w:color w:val="000000"/>
          <w:szCs w:val="18"/>
          <w:lang w:eastAsia="en-GB"/>
        </w:rPr>
        <w:tab/>
        <w:t>los productores del producto similar en el Miembro importador o las asociaciones mercantiles, gremiales o empresariales en las que la mayoría de los miembros sean productores del producto similar en el territorio del Miembro importador.</w:t>
      </w:r>
    </w:p>
    <w:p w14:paraId="13822F3D" w14:textId="77777777"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 xml:space="preserve">Esta enumeración no impedirá que los Miembros permitan la inclusión como partes interesadas de partes nacionales o extranjeras distintas de las indicadas </w:t>
      </w:r>
      <w:r w:rsidRPr="00E50242">
        <w:rPr>
          <w:rFonts w:eastAsia="Times New Roman" w:cs="Times New Roman"/>
          <w:i/>
          <w:color w:val="000000"/>
          <w:szCs w:val="18"/>
          <w:lang w:eastAsia="en-GB"/>
        </w:rPr>
        <w:t>supra</w:t>
      </w:r>
      <w:r w:rsidRPr="00E50242">
        <w:rPr>
          <w:lang w:eastAsia="en-GB"/>
        </w:rPr>
        <w:t>.</w:t>
      </w:r>
    </w:p>
    <w:p w14:paraId="30D3CAC6" w14:textId="0281C7A3"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6.12</w:t>
      </w:r>
      <w:r w:rsidRPr="00E50242">
        <w:rPr>
          <w:rFonts w:eastAsia="Times New Roman" w:cs="Times New Roman"/>
          <w:color w:val="000000"/>
          <w:szCs w:val="18"/>
          <w:lang w:eastAsia="en-GB"/>
        </w:rPr>
        <w:tab/>
        <w:t>Las autoridades darán a los usuarios industriales del producto objeto de investigación, y a las organizaciones de consumidores representativas en los casos en los que el producto se venda normalmente al por menor, la oportunidad de facilitar cualquier información que sea pertinente para la investigación en relación con el dumping, el daño y la relación de causalidad entre uno y otro.</w:t>
      </w:r>
    </w:p>
    <w:p w14:paraId="2F95BB75" w14:textId="77777777"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6.13</w:t>
      </w:r>
      <w:r w:rsidRPr="00E50242">
        <w:rPr>
          <w:rFonts w:eastAsia="Times New Roman" w:cs="Times New Roman"/>
          <w:color w:val="000000"/>
          <w:szCs w:val="18"/>
          <w:lang w:eastAsia="en-GB"/>
        </w:rPr>
        <w:tab/>
        <w:t>Las autoridades tendrán debidamente en cuenta las dificultades con que puedan tropezar las partes interesadas, en particular las pequeñas empresas, para facilitar la información solicitada y les prestarán toda la asistencia factible.</w:t>
      </w:r>
    </w:p>
    <w:p w14:paraId="63EF92E8" w14:textId="77777777"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6.14</w:t>
      </w:r>
      <w:r w:rsidRPr="00E50242">
        <w:rPr>
          <w:rFonts w:eastAsia="Times New Roman" w:cs="Times New Roman"/>
          <w:color w:val="000000"/>
          <w:szCs w:val="18"/>
          <w:lang w:eastAsia="en-GB"/>
        </w:rPr>
        <w:tab/>
        <w:t xml:space="preserve">El procedimiento establecido </w:t>
      </w:r>
      <w:r w:rsidRPr="00E50242">
        <w:rPr>
          <w:rFonts w:eastAsia="Times New Roman" w:cs="Times New Roman"/>
          <w:i/>
          <w:color w:val="000000"/>
          <w:szCs w:val="18"/>
          <w:lang w:eastAsia="en-GB"/>
        </w:rPr>
        <w:t>supra</w:t>
      </w:r>
      <w:r w:rsidRPr="00E50242">
        <w:rPr>
          <w:lang w:eastAsia="en-GB"/>
        </w:rPr>
        <w:t xml:space="preserve"> </w:t>
      </w:r>
      <w:r w:rsidRPr="00E50242">
        <w:rPr>
          <w:rFonts w:eastAsia="Times New Roman" w:cs="Times New Roman"/>
          <w:color w:val="000000"/>
          <w:szCs w:val="18"/>
          <w:lang w:eastAsia="en-GB"/>
        </w:rPr>
        <w:t>no tiene por objeto impedir a las autoridades de ningún Miembro proceder con prontitud a la iniciación de una investigación o a la formulación de determinaciones preliminares o definitivas, positivas o negativas, ni impedirles aplicar medidas provisionales o definitivas, de conformidad con las disposiciones pertinentes del presente Acuerdo.</w:t>
      </w:r>
    </w:p>
    <w:p w14:paraId="53C63BA0" w14:textId="77777777" w:rsidR="00E50242" w:rsidRPr="006C4965" w:rsidRDefault="00E50242" w:rsidP="006461D4">
      <w:pPr>
        <w:keepNext/>
        <w:spacing w:after="240"/>
        <w:jc w:val="center"/>
        <w:rPr>
          <w:rFonts w:eastAsia="Times New Roman" w:cs="Times New Roman"/>
          <w:color w:val="000000"/>
          <w:szCs w:val="18"/>
          <w:lang w:eastAsia="en-GB"/>
        </w:rPr>
      </w:pPr>
      <w:r w:rsidRPr="006C4965">
        <w:rPr>
          <w:rFonts w:eastAsia="Times New Roman" w:cs="Times New Roman"/>
          <w:i/>
          <w:color w:val="000000"/>
          <w:szCs w:val="18"/>
          <w:lang w:eastAsia="en-GB"/>
        </w:rPr>
        <w:t>Artículo 7</w:t>
      </w:r>
    </w:p>
    <w:p w14:paraId="17E9236F" w14:textId="77777777" w:rsidR="00E50242" w:rsidRPr="001A6A7F" w:rsidRDefault="00E50242" w:rsidP="00DB4A40">
      <w:pPr>
        <w:keepNext/>
        <w:spacing w:after="240"/>
        <w:jc w:val="center"/>
        <w:rPr>
          <w:rFonts w:eastAsia="Times New Roman" w:cs="Times New Roman"/>
          <w:color w:val="000000"/>
          <w:szCs w:val="18"/>
          <w:lang w:eastAsia="en-GB"/>
        </w:rPr>
      </w:pPr>
      <w:r w:rsidRPr="00E50242">
        <w:rPr>
          <w:rFonts w:eastAsia="Times New Roman" w:cs="Times New Roman"/>
          <w:i/>
          <w:color w:val="000000"/>
          <w:szCs w:val="18"/>
          <w:lang w:eastAsia="en-GB"/>
        </w:rPr>
        <w:t>Medidas provisionales</w:t>
      </w:r>
    </w:p>
    <w:p w14:paraId="5406C71B" w14:textId="77777777" w:rsidR="00E50242" w:rsidRPr="001A6A7F" w:rsidRDefault="00E50242" w:rsidP="00DB4A40">
      <w:pPr>
        <w:keepNext/>
        <w:spacing w:after="240"/>
        <w:rPr>
          <w:rFonts w:eastAsia="Times New Roman" w:cs="Times New Roman"/>
          <w:color w:val="000000"/>
          <w:szCs w:val="18"/>
          <w:lang w:eastAsia="en-GB"/>
        </w:rPr>
      </w:pPr>
      <w:r w:rsidRPr="00E50242">
        <w:rPr>
          <w:rFonts w:eastAsia="Times New Roman" w:cs="Times New Roman"/>
          <w:color w:val="000000"/>
          <w:szCs w:val="18"/>
          <w:lang w:eastAsia="en-GB"/>
        </w:rPr>
        <w:t>7.1</w:t>
      </w:r>
      <w:r w:rsidRPr="00E50242">
        <w:rPr>
          <w:rFonts w:eastAsia="Times New Roman" w:cs="Times New Roman"/>
          <w:color w:val="000000"/>
          <w:szCs w:val="18"/>
          <w:lang w:eastAsia="en-GB"/>
        </w:rPr>
        <w:tab/>
        <w:t>Sólo podrán aplicarse medidas provisionales si:</w:t>
      </w:r>
    </w:p>
    <w:p w14:paraId="66B4D444" w14:textId="34A11321" w:rsidR="00E50242" w:rsidRPr="001A6A7F" w:rsidRDefault="00E50242" w:rsidP="00DB4A40">
      <w:pPr>
        <w:spacing w:after="240"/>
        <w:ind w:left="1418" w:hanging="851"/>
        <w:rPr>
          <w:lang w:eastAsia="en-GB"/>
        </w:rPr>
      </w:pPr>
      <w:r w:rsidRPr="00E50242">
        <w:rPr>
          <w:lang w:eastAsia="en-GB"/>
        </w:rPr>
        <w:t>i)</w:t>
      </w:r>
      <w:r w:rsidRPr="00E50242">
        <w:rPr>
          <w:lang w:eastAsia="en-GB"/>
        </w:rPr>
        <w:tab/>
        <w:t>se ha iniciado una investigación de conformidad con las disposiciones del artículo 5, se ha dado un aviso público a tal efecto y se han dado a las partes interesadas oportunidades adecuadas de presentar información y hacer observaciones;</w:t>
      </w:r>
    </w:p>
    <w:p w14:paraId="31F01456" w14:textId="2C97C681" w:rsidR="00E50242" w:rsidRPr="001A6A7F" w:rsidRDefault="00E50242" w:rsidP="00DB4A40">
      <w:pPr>
        <w:spacing w:after="240"/>
        <w:ind w:left="1418" w:hanging="851"/>
        <w:rPr>
          <w:rFonts w:eastAsia="Times New Roman" w:cs="Times New Roman"/>
          <w:color w:val="000000"/>
          <w:szCs w:val="18"/>
          <w:lang w:eastAsia="en-GB"/>
        </w:rPr>
      </w:pPr>
      <w:r w:rsidRPr="00E50242">
        <w:rPr>
          <w:rFonts w:eastAsia="Times New Roman" w:cs="Times New Roman"/>
          <w:color w:val="000000"/>
          <w:szCs w:val="18"/>
          <w:lang w:eastAsia="en-GB"/>
        </w:rPr>
        <w:lastRenderedPageBreak/>
        <w:t>ii)</w:t>
      </w:r>
      <w:r w:rsidRPr="00E50242">
        <w:rPr>
          <w:rFonts w:eastAsia="Times New Roman" w:cs="Times New Roman"/>
          <w:color w:val="000000"/>
          <w:szCs w:val="18"/>
          <w:lang w:eastAsia="en-GB"/>
        </w:rPr>
        <w:tab/>
        <w:t>se ha llegado a una determinación preliminar positiva de la existencia de dumping y del consiguiente daño a una rama de producción nacional;</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y</w:t>
      </w:r>
    </w:p>
    <w:p w14:paraId="252B9AC5" w14:textId="55A71C67" w:rsidR="00E50242" w:rsidRPr="001A6A7F" w:rsidRDefault="00E50242" w:rsidP="00DB4A40">
      <w:pPr>
        <w:spacing w:after="240"/>
        <w:ind w:left="1418" w:hanging="851"/>
        <w:rPr>
          <w:rFonts w:eastAsia="Times New Roman" w:cs="Times New Roman"/>
          <w:color w:val="000000"/>
          <w:szCs w:val="18"/>
          <w:lang w:eastAsia="en-GB"/>
        </w:rPr>
      </w:pPr>
      <w:r w:rsidRPr="00E50242">
        <w:rPr>
          <w:rFonts w:eastAsia="Times New Roman" w:cs="Times New Roman"/>
          <w:color w:val="000000"/>
          <w:szCs w:val="18"/>
          <w:lang w:eastAsia="en-GB"/>
        </w:rPr>
        <w:t>iii)</w:t>
      </w:r>
      <w:r w:rsidRPr="00E50242">
        <w:rPr>
          <w:rFonts w:eastAsia="Times New Roman" w:cs="Times New Roman"/>
          <w:color w:val="000000"/>
          <w:szCs w:val="18"/>
          <w:lang w:eastAsia="en-GB"/>
        </w:rPr>
        <w:tab/>
        <w:t>la autoridad competente juzga que tales medidas son necesarias para impedir que se cause daño durante la investigación.</w:t>
      </w:r>
    </w:p>
    <w:p w14:paraId="05D9FEE0" w14:textId="47D474E8"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7.2</w:t>
      </w:r>
      <w:r w:rsidRPr="00E50242">
        <w:rPr>
          <w:rFonts w:eastAsia="Times New Roman" w:cs="Times New Roman"/>
          <w:color w:val="000000"/>
          <w:szCs w:val="18"/>
          <w:lang w:eastAsia="en-GB"/>
        </w:rPr>
        <w:tab/>
        <w:t xml:space="preserve">Las medidas provisionales podrán tomar la forma de un derecho provisional o, preferentemente, una garantía </w:t>
      </w:r>
      <w:r w:rsidR="0007004B">
        <w:rPr>
          <w:rFonts w:eastAsia="Times New Roman" w:cs="Times New Roman"/>
          <w:color w:val="000000"/>
          <w:szCs w:val="18"/>
          <w:lang w:eastAsia="en-GB"/>
        </w:rPr>
        <w:t>-</w:t>
      </w:r>
      <w:r w:rsidRPr="00E50242">
        <w:rPr>
          <w:rFonts w:eastAsia="Times New Roman" w:cs="Times New Roman"/>
          <w:color w:val="000000"/>
          <w:szCs w:val="18"/>
          <w:lang w:eastAsia="en-GB"/>
        </w:rPr>
        <w:t>mediante depósito en efectivo o fianza- igual a la cuantía provisionalmente estimada del derecho antidumping, que no podrá exceder del margen de dumping provisionalmente estimado.</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La suspensión de la valoración en aduana será una medida provisional adecuada, siempre que se indiquen el derecho normal y la cuantía estimada del derecho antidumping y que la suspensión de la valoración se someta a las mismas condiciones que las demás medidas provisionales.</w:t>
      </w:r>
    </w:p>
    <w:p w14:paraId="650A501F" w14:textId="77777777"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7.3</w:t>
      </w:r>
      <w:r w:rsidRPr="00E50242">
        <w:rPr>
          <w:rFonts w:eastAsia="Times New Roman" w:cs="Times New Roman"/>
          <w:color w:val="000000"/>
          <w:szCs w:val="18"/>
          <w:lang w:eastAsia="en-GB"/>
        </w:rPr>
        <w:tab/>
        <w:t>No se aplicarán medidas provisionales antes de transcurridos 60 días desde la fecha de iniciación de la investigación.</w:t>
      </w:r>
    </w:p>
    <w:p w14:paraId="2FB2F8FA" w14:textId="0492E8C6"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7.4</w:t>
      </w:r>
      <w:r w:rsidRPr="00E50242">
        <w:rPr>
          <w:rFonts w:eastAsia="Times New Roman" w:cs="Times New Roman"/>
          <w:color w:val="000000"/>
          <w:szCs w:val="18"/>
          <w:lang w:eastAsia="en-GB"/>
        </w:rPr>
        <w:tab/>
        <w:t>Las medidas provisionales se aplicarán por el período más breve posible, que no podrá exceder de cuatro meses, o, por decisión de la autoridad competente, a petición de exportadores que representen un porcentaje significativo del comercio de que se trate, por un período que no excederá de seis meses.</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Cuando las autoridades, en el curso de una investigación, examinen si bastaría un derecho inferior al margen de dumping para eliminar el daño, esos períodos podrán ser de seis y nueve meses respectivamente.</w:t>
      </w:r>
    </w:p>
    <w:p w14:paraId="0C21642A" w14:textId="77777777"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7.5</w:t>
      </w:r>
      <w:r w:rsidRPr="00E50242">
        <w:rPr>
          <w:rFonts w:eastAsia="Times New Roman" w:cs="Times New Roman"/>
          <w:color w:val="000000"/>
          <w:szCs w:val="18"/>
          <w:lang w:eastAsia="en-GB"/>
        </w:rPr>
        <w:tab/>
        <w:t>En la aplicación de medidas provisionales se seguirán las disposiciones pertinentes del artículo 9.</w:t>
      </w:r>
    </w:p>
    <w:p w14:paraId="0A5EE62F" w14:textId="77777777" w:rsidR="00E50242" w:rsidRPr="006C4965" w:rsidRDefault="00E50242" w:rsidP="006461D4">
      <w:pPr>
        <w:spacing w:after="240"/>
        <w:jc w:val="center"/>
        <w:rPr>
          <w:rFonts w:eastAsia="Times New Roman" w:cs="Times New Roman"/>
          <w:color w:val="000000"/>
          <w:szCs w:val="18"/>
          <w:lang w:eastAsia="en-GB"/>
        </w:rPr>
      </w:pPr>
      <w:r w:rsidRPr="006C4965">
        <w:rPr>
          <w:rFonts w:eastAsia="Times New Roman" w:cs="Times New Roman"/>
          <w:i/>
          <w:color w:val="000000"/>
          <w:szCs w:val="18"/>
          <w:lang w:eastAsia="en-GB"/>
        </w:rPr>
        <w:t>Artículo 8</w:t>
      </w:r>
    </w:p>
    <w:p w14:paraId="2B7CA9CC" w14:textId="77777777" w:rsidR="00E50242" w:rsidRPr="001A6A7F" w:rsidRDefault="00E50242" w:rsidP="00E50242">
      <w:pPr>
        <w:spacing w:after="240"/>
        <w:jc w:val="center"/>
        <w:rPr>
          <w:rFonts w:eastAsia="Times New Roman" w:cs="Times New Roman"/>
          <w:color w:val="000000"/>
          <w:szCs w:val="18"/>
          <w:lang w:eastAsia="en-GB"/>
        </w:rPr>
      </w:pPr>
      <w:r w:rsidRPr="00E50242">
        <w:rPr>
          <w:rFonts w:eastAsia="Times New Roman" w:cs="Times New Roman"/>
          <w:i/>
          <w:color w:val="000000"/>
          <w:szCs w:val="18"/>
          <w:lang w:eastAsia="en-GB"/>
        </w:rPr>
        <w:t>Compromisos relativos a los precios</w:t>
      </w:r>
    </w:p>
    <w:p w14:paraId="2CAD77EC" w14:textId="40004F3B"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8.1</w:t>
      </w:r>
      <w:r w:rsidRPr="00E50242">
        <w:rPr>
          <w:rFonts w:eastAsia="Times New Roman" w:cs="Times New Roman"/>
          <w:color w:val="000000"/>
          <w:szCs w:val="18"/>
          <w:lang w:eastAsia="en-GB"/>
        </w:rPr>
        <w:tab/>
        <w:t>Se podrán</w:t>
      </w:r>
      <w:r w:rsidRPr="00E50242">
        <w:rPr>
          <w:rFonts w:eastAsia="Times New Roman" w:cs="Times New Roman"/>
          <w:color w:val="000000"/>
          <w:szCs w:val="18"/>
          <w:vertAlign w:val="superscript"/>
          <w:lang w:eastAsia="en-GB"/>
        </w:rPr>
        <w:footnoteReference w:id="19"/>
      </w:r>
      <w:r w:rsidRPr="00E50242">
        <w:rPr>
          <w:rFonts w:eastAsia="Times New Roman" w:cs="Times New Roman"/>
          <w:color w:val="000000"/>
          <w:szCs w:val="18"/>
          <w:lang w:eastAsia="en-GB"/>
        </w:rPr>
        <w:t xml:space="preserve"> suspender o dar por terminados los procedimientos sin imposición de medidas provisionales o derechos antidumping si el exportador comunica que asume voluntariamente compromisos satisfactorios de revisar sus precios o de poner fin a las exportaciones a la zona en cuestión a precios de dumping, de modo que las autoridades queden convencidas de que se elimina el efecto perjudicial del dumping.</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Los aumentos de precios estipulados en dichos compromisos no serán superiores a lo necesario para compensar el margen de dumping.</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Es deseable que los aumentos de precios sean inferiores al margen de dumping si así bastan para eliminar el daño a la rama de producción nacional.</w:t>
      </w:r>
    </w:p>
    <w:p w14:paraId="0F0FA369" w14:textId="3C95C712"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8.2</w:t>
      </w:r>
      <w:r w:rsidRPr="00E50242">
        <w:rPr>
          <w:rFonts w:eastAsia="Times New Roman" w:cs="Times New Roman"/>
          <w:color w:val="000000"/>
          <w:szCs w:val="18"/>
          <w:lang w:eastAsia="en-GB"/>
        </w:rPr>
        <w:tab/>
        <w:t>No se recabarán ni se aceptarán de los exportadores compromisos en materia de precios excepto en el caso de que las autoridades del Miembro importador hayan formulado una determinación preliminar positiva de la existencia de dumping y de daño causado por ese dumping.</w:t>
      </w:r>
    </w:p>
    <w:p w14:paraId="27AAFDC8" w14:textId="5902BF66"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8.3</w:t>
      </w:r>
      <w:r w:rsidRPr="00E50242">
        <w:rPr>
          <w:rFonts w:eastAsia="Times New Roman" w:cs="Times New Roman"/>
          <w:color w:val="000000"/>
          <w:szCs w:val="18"/>
          <w:lang w:eastAsia="en-GB"/>
        </w:rPr>
        <w:tab/>
        <w:t>No será necesario aceptar los compromisos ofrecidos si las autoridades consideran que no sería realista tal aceptación, por ejemplo, porque el número de los exportadores reales o potenciales sea demasiado grande, o por otros motivos, entre ellos motivos de política general.</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En tal caso, y siempre que sea factible, las autoridades expondrán al exportador los motivos que las hayan inducido a considerar inadecuada la aceptación de un compromiso y, en la medida de lo posible, darán al exportador la oportunidad de formular observaciones al respecto.</w:t>
      </w:r>
    </w:p>
    <w:p w14:paraId="777CA47B" w14:textId="59759F4B" w:rsidR="00E50242" w:rsidRPr="001A6A7F" w:rsidRDefault="00E50242" w:rsidP="00BE11CE">
      <w:pPr>
        <w:rPr>
          <w:rFonts w:eastAsia="Times New Roman" w:cs="Times New Roman"/>
          <w:color w:val="000000"/>
          <w:szCs w:val="18"/>
          <w:lang w:eastAsia="en-GB"/>
        </w:rPr>
      </w:pPr>
      <w:r w:rsidRPr="00E50242">
        <w:rPr>
          <w:rFonts w:eastAsia="Times New Roman" w:cs="Times New Roman"/>
          <w:color w:val="000000"/>
          <w:szCs w:val="18"/>
          <w:lang w:eastAsia="en-GB"/>
        </w:rPr>
        <w:t>8.4</w:t>
      </w:r>
      <w:r w:rsidRPr="00E50242">
        <w:rPr>
          <w:rFonts w:eastAsia="Times New Roman" w:cs="Times New Roman"/>
          <w:color w:val="000000"/>
          <w:szCs w:val="18"/>
          <w:lang w:eastAsia="en-GB"/>
        </w:rPr>
        <w:tab/>
        <w:t>Aunque se acepte un compromiso, la investigación de la existencia de dumping y daño se llevará a término cuando así lo desee el exportador o así lo decidan las autoridades.</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En tal caso, si se formula una determinación negativa de la existencia de dumping o de daño, el compromiso quedará extinguido automáticamente, salvo en los casos en que dicha determinación se base en gran medida en la existencia de un compromiso en materia de precios.</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 xml:space="preserve">En tales casos, las autoridades podrán exigir que se mantenga el compromiso durante un período prudencial conforme </w:t>
      </w:r>
      <w:r w:rsidRPr="00E50242">
        <w:rPr>
          <w:rFonts w:eastAsia="Times New Roman" w:cs="Times New Roman"/>
          <w:color w:val="000000"/>
          <w:szCs w:val="18"/>
          <w:lang w:eastAsia="en-GB"/>
        </w:rPr>
        <w:lastRenderedPageBreak/>
        <w:t>a las disposiciones del presente Acuerdo.</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En caso de que se formule una determinación positiva de la existencia de dumping y de daño, el compromiso se mantendrá conforme a sus términos y a las disposiciones del presente Acuerdo.</w:t>
      </w:r>
    </w:p>
    <w:p w14:paraId="51BC11C3" w14:textId="1BE0F347" w:rsidR="00E50242" w:rsidRPr="001A6A7F" w:rsidRDefault="00E50242" w:rsidP="00BE11CE">
      <w:pPr>
        <w:spacing w:before="240" w:after="240"/>
        <w:rPr>
          <w:rFonts w:eastAsia="Times New Roman" w:cs="Times New Roman"/>
          <w:color w:val="000000"/>
          <w:szCs w:val="18"/>
          <w:lang w:eastAsia="en-GB"/>
        </w:rPr>
      </w:pPr>
      <w:r w:rsidRPr="00E50242">
        <w:rPr>
          <w:rFonts w:eastAsia="Times New Roman" w:cs="Times New Roman"/>
          <w:color w:val="000000"/>
          <w:szCs w:val="18"/>
          <w:lang w:eastAsia="en-GB"/>
        </w:rPr>
        <w:t>8.5</w:t>
      </w:r>
      <w:r w:rsidRPr="00E50242">
        <w:rPr>
          <w:rFonts w:eastAsia="Times New Roman" w:cs="Times New Roman"/>
          <w:color w:val="000000"/>
          <w:szCs w:val="18"/>
          <w:lang w:eastAsia="en-GB"/>
        </w:rPr>
        <w:tab/>
        <w:t>Las autoridades del Miembro importador podrán sugerir compromisos en materia de precios, pero no se obligará a ningún exportador a aceptarlos.</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El hecho de que un exportador no ofrezca tales compromisos o no acepte la invitación a hacerlo no prejuzgará en modo alguno el examen del asunto.</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Sin embargo, las autoridades tendrán la libertad de determinar que es más probable que una amenaza de daño llegue a materializarse si continúan las importaciones objeto de dumping.</w:t>
      </w:r>
    </w:p>
    <w:p w14:paraId="6EF5497D" w14:textId="106CE806"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8.6</w:t>
      </w:r>
      <w:r w:rsidRPr="00E50242">
        <w:rPr>
          <w:rFonts w:eastAsia="Times New Roman" w:cs="Times New Roman"/>
          <w:color w:val="000000"/>
          <w:szCs w:val="18"/>
          <w:lang w:eastAsia="en-GB"/>
        </w:rPr>
        <w:tab/>
        <w:t>Las autoridades de un Miembro importador podrán pedir a cualquier exportador del que se haya aceptado un compromiso que suministre periódicamente información relativa al cumplimiento de tal compromiso y que permita la verificación de los datos pertinentes.</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En caso de incumplimiento de un compromiso, las autoridades del Miembro importador podrán, en virtud del presente Acuerdo y de conformidad con lo estipulado en él, adoptar con prontitud disposiciones que podrán consistir en la aplicación inmediata de medidas provisionales sobre la base de la mejor información disponible.</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En tales casos podrán percibirse derechos definitivos al amparo del presente Acuerdo sobre los productos declarados a consumo 90 días como máximo antes de la aplicación de tales medidas provisionales, con la salvedad de que esa retroactividad no será aplicable a las importaciones declaradas antes del incumplimiento del compromiso.</w:t>
      </w:r>
    </w:p>
    <w:p w14:paraId="567009A6" w14:textId="77777777" w:rsidR="00E50242" w:rsidRPr="006C4965" w:rsidRDefault="00E50242" w:rsidP="006461D4">
      <w:pPr>
        <w:spacing w:after="240"/>
        <w:jc w:val="center"/>
        <w:rPr>
          <w:rFonts w:eastAsia="Times New Roman" w:cs="Times New Roman"/>
          <w:color w:val="000000"/>
          <w:szCs w:val="18"/>
          <w:lang w:eastAsia="en-GB"/>
        </w:rPr>
      </w:pPr>
      <w:r w:rsidRPr="006C4965">
        <w:rPr>
          <w:rFonts w:eastAsia="Times New Roman" w:cs="Times New Roman"/>
          <w:i/>
          <w:color w:val="000000"/>
          <w:szCs w:val="18"/>
          <w:lang w:eastAsia="en-GB"/>
        </w:rPr>
        <w:t>Artículo 9</w:t>
      </w:r>
    </w:p>
    <w:p w14:paraId="5D581C1A" w14:textId="77777777" w:rsidR="00E50242" w:rsidRPr="001A6A7F" w:rsidRDefault="00E50242" w:rsidP="00E50242">
      <w:pPr>
        <w:spacing w:after="240"/>
        <w:jc w:val="center"/>
        <w:rPr>
          <w:rFonts w:eastAsia="Times New Roman" w:cs="Times New Roman"/>
          <w:color w:val="000000"/>
          <w:szCs w:val="18"/>
          <w:lang w:eastAsia="en-GB"/>
        </w:rPr>
      </w:pPr>
      <w:r w:rsidRPr="00E50242">
        <w:rPr>
          <w:rFonts w:eastAsia="Times New Roman" w:cs="Times New Roman"/>
          <w:i/>
          <w:color w:val="000000"/>
          <w:szCs w:val="18"/>
          <w:lang w:eastAsia="en-GB"/>
        </w:rPr>
        <w:t>Establecimiento y percepción de derechos antidumping</w:t>
      </w:r>
    </w:p>
    <w:p w14:paraId="2B29D59C" w14:textId="3FA49AAD"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9.1</w:t>
      </w:r>
      <w:r w:rsidRPr="00E50242">
        <w:rPr>
          <w:rFonts w:eastAsia="Times New Roman" w:cs="Times New Roman"/>
          <w:color w:val="000000"/>
          <w:szCs w:val="18"/>
          <w:lang w:eastAsia="en-GB"/>
        </w:rPr>
        <w:tab/>
        <w:t>La decisión de establecer o no un derecho antidumping en los casos en que se han cumplido todos los requisitos para su establecimiento, y la decisión de fijar la cuantía del derecho antidumping en un nivel igual o inferior a la totalidad del margen de dumping, habrán de adoptarlas las autoridades del Miembro importador.</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Es deseable que el establecimiento del derecho sea facultativo en el territorio de todos los Miembros y que el derecho sea inferior al margen si ese derecho inferior basta para eliminar el daño a la rama de producción nacional.</w:t>
      </w:r>
    </w:p>
    <w:p w14:paraId="07C5705D" w14:textId="3D0DF79C"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9.2</w:t>
      </w:r>
      <w:r w:rsidRPr="00E50242">
        <w:rPr>
          <w:rFonts w:eastAsia="Times New Roman" w:cs="Times New Roman"/>
          <w:color w:val="000000"/>
          <w:szCs w:val="18"/>
          <w:lang w:eastAsia="en-GB"/>
        </w:rPr>
        <w:tab/>
        <w:t>Cuando se haya establecido un derecho antidumping con respecto a un producto, ese derecho se percibirá en la cuantía apropiada en cada caso y sin discriminación sobre las importaciones de ese producto, cualquiera que sea su procedencia, declaradas objeto de dumping y causantes de daño, a excepción de las importaciones procedentes de fuentes de las que se hayan aceptado compromisos en materia de precios en virtud de lo establecido en el presente Acuerdo.</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Las autoridades designarán al proveedor o proveedores del producto de que se trate.</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Sin embargo, si estuviesen implicados varios proveedores pertenecientes a un mismo país y resultase imposible en la práctica designar a todos ellos, las autoridades podrán designar al país proveedor de que se trate.</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Si estuviesen implicados varios proveedores pertenecientes a más de un país, las autoridades podrán designar a todos los proveedores implicados o, en caso de que esto sea impracticable, todos los países proveedores implicados.</w:t>
      </w:r>
    </w:p>
    <w:p w14:paraId="53F056ED" w14:textId="77777777"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9.3</w:t>
      </w:r>
      <w:r w:rsidRPr="00E50242">
        <w:rPr>
          <w:rFonts w:eastAsia="Times New Roman" w:cs="Times New Roman"/>
          <w:color w:val="000000"/>
          <w:szCs w:val="18"/>
          <w:lang w:eastAsia="en-GB"/>
        </w:rPr>
        <w:tab/>
        <w:t>La cuantía del derecho antidumping no excederá del margen de dumping establecido de conformidad con el artículo 2.</w:t>
      </w:r>
    </w:p>
    <w:p w14:paraId="2DCFF4AF" w14:textId="5BE0F5CF" w:rsidR="00E50242" w:rsidRPr="001A6A7F" w:rsidRDefault="00E50242" w:rsidP="00AD1B17">
      <w:pPr>
        <w:spacing w:after="240"/>
        <w:ind w:left="1418" w:hanging="851"/>
        <w:rPr>
          <w:lang w:eastAsia="en-GB"/>
        </w:rPr>
      </w:pPr>
      <w:r w:rsidRPr="00E50242">
        <w:rPr>
          <w:lang w:eastAsia="en-GB"/>
        </w:rPr>
        <w:t>9.3.1</w:t>
      </w:r>
      <w:r w:rsidRPr="00E50242">
        <w:rPr>
          <w:lang w:eastAsia="en-GB"/>
        </w:rPr>
        <w:tab/>
        <w:t>Cuando la cuantía del derecho antidumping se fije de forma retrospectiva, la determinación de la cantidad definitiva que deba satisfacerse en concepto de derechos antidumping se efectuará lo antes posible, normalmente en un plazo de</w:t>
      </w:r>
      <w:r w:rsidR="004817AF">
        <w:rPr>
          <w:lang w:eastAsia="en-GB"/>
        </w:rPr>
        <w:t> </w:t>
      </w:r>
      <w:r w:rsidRPr="00E50242">
        <w:rPr>
          <w:lang w:eastAsia="en-GB"/>
        </w:rPr>
        <w:t>12</w:t>
      </w:r>
      <w:r w:rsidR="004817AF">
        <w:rPr>
          <w:lang w:eastAsia="en-GB"/>
        </w:rPr>
        <w:t> </w:t>
      </w:r>
      <w:r w:rsidRPr="00E50242">
        <w:rPr>
          <w:lang w:eastAsia="en-GB"/>
        </w:rPr>
        <w:t>meses, y en ningún caso de más de 18 meses, a contar de la fecha en que se haya formulado una petición de fijación definitiva de la cuantía del derecho antidumping.</w:t>
      </w:r>
      <w:r w:rsidRPr="00E50242">
        <w:rPr>
          <w:vertAlign w:val="superscript"/>
          <w:lang w:eastAsia="en-GB"/>
        </w:rPr>
        <w:footnoteReference w:id="20"/>
      </w:r>
      <w:r w:rsidR="001A6A7F" w:rsidRPr="001A6A7F">
        <w:rPr>
          <w:lang w:eastAsia="en-GB"/>
        </w:rPr>
        <w:t xml:space="preserve"> </w:t>
      </w:r>
      <w:r w:rsidRPr="00E50242">
        <w:rPr>
          <w:lang w:eastAsia="en-GB"/>
        </w:rPr>
        <w:t>Toda devolución se hará con prontitud y normalmente no más de</w:t>
      </w:r>
      <w:r w:rsidR="004817AF">
        <w:rPr>
          <w:lang w:eastAsia="en-GB"/>
        </w:rPr>
        <w:t> </w:t>
      </w:r>
      <w:r w:rsidRPr="00E50242">
        <w:rPr>
          <w:lang w:eastAsia="en-GB"/>
        </w:rPr>
        <w:t>90</w:t>
      </w:r>
      <w:r w:rsidR="004817AF">
        <w:rPr>
          <w:lang w:eastAsia="en-GB"/>
        </w:rPr>
        <w:t> </w:t>
      </w:r>
      <w:r w:rsidRPr="00E50242">
        <w:rPr>
          <w:lang w:eastAsia="en-GB"/>
        </w:rPr>
        <w:t>días después de la determinación, de conformidad con el presente apartado, de la cantidad definitiva que deba satisfacerse.</w:t>
      </w:r>
      <w:r w:rsidR="001A6A7F" w:rsidRPr="001A6A7F">
        <w:rPr>
          <w:lang w:eastAsia="en-GB"/>
        </w:rPr>
        <w:t xml:space="preserve"> </w:t>
      </w:r>
      <w:r w:rsidRPr="00E50242">
        <w:rPr>
          <w:lang w:eastAsia="en-GB"/>
        </w:rPr>
        <w:t>En cualquier caso, cuando no se haya hecho la devolución en un plazo de 90</w:t>
      </w:r>
      <w:r w:rsidR="00B962F5">
        <w:rPr>
          <w:lang w:eastAsia="en-GB"/>
        </w:rPr>
        <w:t> </w:t>
      </w:r>
      <w:r w:rsidRPr="00E50242">
        <w:rPr>
          <w:lang w:eastAsia="en-GB"/>
        </w:rPr>
        <w:t>días, las autoridades darán una explicación a instancia de parte.</w:t>
      </w:r>
    </w:p>
    <w:p w14:paraId="4F37FE71" w14:textId="038DAF4C" w:rsidR="00E50242" w:rsidRPr="001A6A7F" w:rsidRDefault="00E50242" w:rsidP="00934AEB">
      <w:pPr>
        <w:spacing w:after="240"/>
        <w:ind w:left="1418" w:hanging="851"/>
        <w:rPr>
          <w:rFonts w:eastAsia="Times New Roman" w:cs="Times New Roman"/>
          <w:color w:val="000000"/>
          <w:szCs w:val="18"/>
          <w:lang w:eastAsia="en-GB"/>
        </w:rPr>
      </w:pPr>
      <w:r w:rsidRPr="00E50242">
        <w:rPr>
          <w:rFonts w:eastAsia="Times New Roman" w:cs="Times New Roman"/>
          <w:color w:val="000000"/>
          <w:szCs w:val="18"/>
          <w:lang w:eastAsia="en-GB"/>
        </w:rPr>
        <w:lastRenderedPageBreak/>
        <w:t>9.3.2</w:t>
      </w:r>
      <w:r w:rsidRPr="00E50242">
        <w:rPr>
          <w:rFonts w:eastAsia="Times New Roman" w:cs="Times New Roman"/>
          <w:color w:val="000000"/>
          <w:szCs w:val="18"/>
          <w:lang w:eastAsia="en-GB"/>
        </w:rPr>
        <w:tab/>
        <w:t>Cuando la cuantía del derecho antidumping se fije de forma prospectiva, se preverá la pronta devolución, previa petición, de todo derecho pagado en exceso del margen de dumping.</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La devolución del derecho pagado en exceso del margen real de dumping se efectuará normalmente en un plazo de 12 meses, y en ningún caso de más de 18</w:t>
      </w:r>
      <w:r w:rsidR="004703E8">
        <w:rPr>
          <w:rFonts w:eastAsia="Times New Roman" w:cs="Times New Roman"/>
          <w:color w:val="000000"/>
          <w:szCs w:val="18"/>
          <w:lang w:eastAsia="en-GB"/>
        </w:rPr>
        <w:t xml:space="preserve"> </w:t>
      </w:r>
      <w:r w:rsidRPr="00E50242">
        <w:rPr>
          <w:rFonts w:eastAsia="Times New Roman" w:cs="Times New Roman"/>
          <w:color w:val="000000"/>
          <w:szCs w:val="18"/>
          <w:lang w:eastAsia="en-GB"/>
        </w:rPr>
        <w:t>meses, a contar de la fecha en que el importador del producto sometido al derecho antidumping haya presentado una petición de devolución debidamente apoyada por pruebas.</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Normalmente la devolución autorizada se hará en un plazo de</w:t>
      </w:r>
      <w:r w:rsidR="00206448">
        <w:rPr>
          <w:rFonts w:eastAsia="Times New Roman" w:cs="Times New Roman"/>
          <w:color w:val="000000"/>
          <w:szCs w:val="18"/>
          <w:lang w:eastAsia="en-GB"/>
        </w:rPr>
        <w:t> </w:t>
      </w:r>
      <w:r w:rsidRPr="00E50242">
        <w:rPr>
          <w:rFonts w:eastAsia="Times New Roman" w:cs="Times New Roman"/>
          <w:color w:val="000000"/>
          <w:szCs w:val="18"/>
          <w:lang w:eastAsia="en-GB"/>
        </w:rPr>
        <w:t xml:space="preserve">90 días contados a partir de la decisión a que se hace referencia </w:t>
      </w:r>
      <w:r w:rsidRPr="00E50242">
        <w:rPr>
          <w:rFonts w:eastAsia="Times New Roman" w:cs="Times New Roman"/>
          <w:i/>
          <w:color w:val="000000"/>
          <w:szCs w:val="18"/>
          <w:lang w:eastAsia="en-GB"/>
        </w:rPr>
        <w:t>supra</w:t>
      </w:r>
      <w:r w:rsidRPr="00E50242">
        <w:rPr>
          <w:rFonts w:eastAsia="Times New Roman" w:cs="Times New Roman"/>
          <w:color w:val="000000"/>
          <w:szCs w:val="18"/>
          <w:lang w:eastAsia="en-GB"/>
        </w:rPr>
        <w:t>.</w:t>
      </w:r>
    </w:p>
    <w:p w14:paraId="6A3EA8BE" w14:textId="2938D044" w:rsidR="00E50242" w:rsidRPr="001A6A7F" w:rsidRDefault="00E50242" w:rsidP="00934AEB">
      <w:pPr>
        <w:spacing w:after="240"/>
        <w:ind w:left="1418" w:hanging="851"/>
        <w:rPr>
          <w:rFonts w:eastAsia="Times New Roman" w:cs="Times New Roman"/>
          <w:color w:val="000000"/>
          <w:szCs w:val="18"/>
          <w:lang w:eastAsia="en-GB"/>
        </w:rPr>
      </w:pPr>
      <w:r w:rsidRPr="00E50242">
        <w:rPr>
          <w:rFonts w:eastAsia="Times New Roman" w:cs="Times New Roman"/>
          <w:color w:val="000000"/>
          <w:szCs w:val="18"/>
          <w:lang w:eastAsia="en-GB"/>
        </w:rPr>
        <w:t>9.3.3</w:t>
      </w:r>
      <w:r w:rsidRPr="00E50242">
        <w:rPr>
          <w:rFonts w:eastAsia="Times New Roman" w:cs="Times New Roman"/>
          <w:color w:val="000000"/>
          <w:szCs w:val="18"/>
          <w:lang w:eastAsia="en-GB"/>
        </w:rPr>
        <w:tab/>
        <w:t>Cuando el precio de exportación se reconstruya de conformidad con las disposiciones del párrafo 3 del artículo 2, al determinar si se debe hacer una devolución, y el alcance de ésta, las autoridades deberán tener en cuenta los cambios que se hayan producido en el valor normal o en los gastos habidos entre la importación y la reventa y los movimientos del precio de reventa que se hayan reflejado debidamente en los precios de venta posteriores, y deberán calcular el precio de exportación sin deducir la cuantía de los derechos antidumping si se aportan pruebas concluyentes de lo anterior.</w:t>
      </w:r>
    </w:p>
    <w:p w14:paraId="2342C32E" w14:textId="3343BBD5"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9.4</w:t>
      </w:r>
      <w:r w:rsidRPr="00E50242">
        <w:rPr>
          <w:rFonts w:eastAsia="Times New Roman" w:cs="Times New Roman"/>
          <w:color w:val="000000"/>
          <w:szCs w:val="18"/>
          <w:lang w:eastAsia="en-GB"/>
        </w:rPr>
        <w:tab/>
        <w:t>Cuando las autoridades hayan limitado su examen de conformidad con la segunda frase del párrafo</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10 del artículo 6, los derechos que se apliquen a las importaciones procedentes de exportadores o productores no abarcados por el examen no serán superiores:</w:t>
      </w:r>
    </w:p>
    <w:p w14:paraId="529145AD" w14:textId="01C6788C" w:rsidR="00E50242" w:rsidRPr="001A6A7F" w:rsidRDefault="00E50242" w:rsidP="00B6349F">
      <w:pPr>
        <w:spacing w:after="240"/>
        <w:ind w:left="1418" w:hanging="851"/>
        <w:rPr>
          <w:lang w:eastAsia="en-GB"/>
        </w:rPr>
      </w:pPr>
      <w:r w:rsidRPr="00E50242">
        <w:rPr>
          <w:lang w:eastAsia="en-GB"/>
        </w:rPr>
        <w:t>i)</w:t>
      </w:r>
      <w:r w:rsidRPr="00E50242">
        <w:rPr>
          <w:lang w:eastAsia="en-GB"/>
        </w:rPr>
        <w:tab/>
        <w:t>al promedio ponderado del margen de dumping establecido con respecto a los exportadores o productores seleccionados, o</w:t>
      </w:r>
    </w:p>
    <w:p w14:paraId="4995A19E" w14:textId="333EDD5D" w:rsidR="00E50242" w:rsidRPr="001A6A7F" w:rsidRDefault="00E50242" w:rsidP="00B6349F">
      <w:pPr>
        <w:spacing w:after="240"/>
        <w:ind w:left="1418" w:hanging="851"/>
        <w:rPr>
          <w:rFonts w:eastAsia="Times New Roman" w:cs="Times New Roman"/>
          <w:color w:val="000000"/>
          <w:szCs w:val="18"/>
          <w:lang w:eastAsia="en-GB"/>
        </w:rPr>
      </w:pPr>
      <w:r w:rsidRPr="00E50242">
        <w:rPr>
          <w:rFonts w:eastAsia="Times New Roman" w:cs="Times New Roman"/>
          <w:color w:val="000000"/>
          <w:szCs w:val="18"/>
          <w:lang w:eastAsia="en-GB"/>
        </w:rPr>
        <w:t>ii)</w:t>
      </w:r>
      <w:r w:rsidRPr="00E50242">
        <w:rPr>
          <w:rFonts w:eastAsia="Times New Roman" w:cs="Times New Roman"/>
          <w:color w:val="000000"/>
          <w:szCs w:val="18"/>
          <w:lang w:eastAsia="en-GB"/>
        </w:rPr>
        <w:tab/>
        <w:t>cuando las cantidades que deban satisfacerse en concepto de derechos antidumping se calculen sobre la base del valor normal prospectivo, a la diferencia entre el promedio ponderado del valor normal correspondiente a los exportadores o productores seleccionados y los precios de exportación de los exportadores o productores que no hayan sido examinados individualmente,</w:t>
      </w:r>
    </w:p>
    <w:p w14:paraId="3FEB9346" w14:textId="44EE664F"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 xml:space="preserve">con la salvedad de que las autoridades no tomarán en cuenta a los efectos del presente párrafo los márgenes nulos y </w:t>
      </w:r>
      <w:r w:rsidRPr="00E50242">
        <w:rPr>
          <w:rFonts w:eastAsia="Times New Roman" w:cs="Times New Roman"/>
          <w:i/>
          <w:color w:val="000000"/>
          <w:szCs w:val="18"/>
          <w:lang w:eastAsia="en-GB"/>
        </w:rPr>
        <w:t>de minimis</w:t>
      </w:r>
      <w:r w:rsidRPr="00E50242">
        <w:rPr>
          <w:lang w:eastAsia="en-GB"/>
        </w:rPr>
        <w:t xml:space="preserve"> </w:t>
      </w:r>
      <w:r w:rsidRPr="00E50242">
        <w:rPr>
          <w:rFonts w:eastAsia="Times New Roman" w:cs="Times New Roman"/>
          <w:color w:val="000000"/>
          <w:szCs w:val="18"/>
          <w:lang w:eastAsia="en-GB"/>
        </w:rPr>
        <w:t>ni los márgenes establecidos en las circunstancias a que hace referencia el párrafo 8 del artículo 6.</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Las autoridades aplicarán derechos o valores normales individuales a las importaciones procedentes de los exportadores o productores no incluidos en el examen y que hayan proporcionado la información necesaria en el curso de la investigación, de conformidad con lo previsto en el apartado 10.2 del artículo 6.</w:t>
      </w:r>
    </w:p>
    <w:p w14:paraId="30FF19FE" w14:textId="18B4F80E"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9.5</w:t>
      </w:r>
      <w:r w:rsidRPr="00E50242">
        <w:rPr>
          <w:rFonts w:eastAsia="Times New Roman" w:cs="Times New Roman"/>
          <w:color w:val="000000"/>
          <w:szCs w:val="18"/>
          <w:lang w:eastAsia="en-GB"/>
        </w:rPr>
        <w:tab/>
        <w:t>Si un producto es objeto de derechos antidumping en un Miembro importador, las autoridades llevarán a cabo con prontitud un examen para determinar los márgenes individuales de dumping que puedan corresponder a los exportadores o productores del país exportador en cuestión que no hayan exportado ese producto al Miembro importador durante el período objeto de investigación, a condición de que dichos exportadores o productores puedan demostrar que no están vinculados a ninguno de los exportadores o productores del país exportador que son objeto de derechos antidumping sobre el producto.</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Ese examen se iniciará y realizará de forma acelerada en comparación con los procedimientos normales de fijación de derechos y de examen en el Miembro importador.</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Mientras se esté procediendo al examen no se percibirán derechos antidumping sobre las importaciones procedentes de esos exportadores o productores.</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No obstante, las autoridades podrán suspender la valoración en aduana y/o solicitar garantías para asegurarse de que, si ese examen condujera a una determinación de existencia de dumping con respecto a tales productores o exportadores, podrán percibirse derechos antidumping con efecto retroactivo desde la fecha de iniciación del examen.</w:t>
      </w:r>
    </w:p>
    <w:p w14:paraId="7C37994E" w14:textId="77777777" w:rsidR="00E50242" w:rsidRPr="006C4965" w:rsidRDefault="00E50242" w:rsidP="006461D4">
      <w:pPr>
        <w:spacing w:after="240"/>
        <w:jc w:val="center"/>
        <w:rPr>
          <w:rFonts w:eastAsia="Times New Roman" w:cs="Times New Roman"/>
          <w:color w:val="000000"/>
          <w:szCs w:val="18"/>
          <w:lang w:eastAsia="en-GB"/>
        </w:rPr>
      </w:pPr>
      <w:r w:rsidRPr="006C4965">
        <w:rPr>
          <w:rFonts w:eastAsia="Times New Roman" w:cs="Times New Roman"/>
          <w:i/>
          <w:color w:val="000000"/>
          <w:szCs w:val="18"/>
          <w:lang w:eastAsia="en-GB"/>
        </w:rPr>
        <w:t>Artículo 10</w:t>
      </w:r>
    </w:p>
    <w:p w14:paraId="55A50A06" w14:textId="77777777" w:rsidR="00E50242" w:rsidRPr="001A6A7F" w:rsidRDefault="00E50242" w:rsidP="00E50242">
      <w:pPr>
        <w:spacing w:after="240"/>
        <w:jc w:val="center"/>
        <w:rPr>
          <w:rFonts w:eastAsia="Times New Roman" w:cs="Times New Roman"/>
          <w:color w:val="000000"/>
          <w:szCs w:val="18"/>
          <w:lang w:eastAsia="en-GB"/>
        </w:rPr>
      </w:pPr>
      <w:r w:rsidRPr="00E50242">
        <w:rPr>
          <w:rFonts w:eastAsia="Times New Roman" w:cs="Times New Roman"/>
          <w:i/>
          <w:color w:val="000000"/>
          <w:szCs w:val="18"/>
          <w:lang w:eastAsia="en-GB"/>
        </w:rPr>
        <w:t>Retroactividad</w:t>
      </w:r>
    </w:p>
    <w:p w14:paraId="06272FA1" w14:textId="66521453"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10.1</w:t>
      </w:r>
      <w:r w:rsidRPr="00E50242">
        <w:rPr>
          <w:rFonts w:eastAsia="Times New Roman" w:cs="Times New Roman"/>
          <w:color w:val="000000"/>
          <w:szCs w:val="18"/>
          <w:lang w:eastAsia="en-GB"/>
        </w:rPr>
        <w:tab/>
        <w:t>Sólo se aplicarán medidas provisionales o derechos antidumping a los productos que se declaren a consumo después de la fecha en que entre en vigor la decisión adoptada de conformidad con el párrafo</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1 del artículo 7 o el párrafo 1 del artículo 9, respectivamente, con las excepciones que se indican en el presente artículo.</w:t>
      </w:r>
    </w:p>
    <w:p w14:paraId="44CE0736" w14:textId="77777777"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lastRenderedPageBreak/>
        <w:t>10.2</w:t>
      </w:r>
      <w:r w:rsidRPr="00E50242">
        <w:rPr>
          <w:rFonts w:eastAsia="Times New Roman" w:cs="Times New Roman"/>
          <w:color w:val="000000"/>
          <w:szCs w:val="18"/>
          <w:lang w:eastAsia="en-GB"/>
        </w:rPr>
        <w:tab/>
        <w:t>Cuando se formule una determinación definitiva de la existencia de daño (pero no de amenaza de daño o de retraso importante en la creación de una rama de producción) o, en caso de formularse una determinación definitiva de la existencia de amenaza de daño, cuando el efecto de las importaciones objeto de dumping sea tal que, de no haberse aplicado medidas provisionales, hubiera dado lugar a una determinación de la existencia de daño, se podrán percibir retroactivamente derechos antidumping por el período en que se hayan aplicado medidas provisionales.</w:t>
      </w:r>
    </w:p>
    <w:p w14:paraId="64F602A0" w14:textId="2AAE7D59"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10.3</w:t>
      </w:r>
      <w:r w:rsidRPr="00E50242">
        <w:rPr>
          <w:rFonts w:eastAsia="Times New Roman" w:cs="Times New Roman"/>
          <w:color w:val="000000"/>
          <w:szCs w:val="18"/>
          <w:lang w:eastAsia="en-GB"/>
        </w:rPr>
        <w:tab/>
        <w:t>Si el derecho antidumping definitivo es superior al derecho provisional pagado o por pagar, o a la cantidad estimada a efectos de la garantía, no se exigirá la diferencia.</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Si el derecho definitivo es inferior al derecho provisional pagado o por pagar, o a la cuantía estimada a efectos de la garantía, se devolverá la diferencia o se calculará de nuevo el derecho, según sea el caso.</w:t>
      </w:r>
    </w:p>
    <w:p w14:paraId="55182547" w14:textId="6D8A9FF8"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10.4</w:t>
      </w:r>
      <w:r w:rsidRPr="00E50242">
        <w:rPr>
          <w:rFonts w:eastAsia="Times New Roman" w:cs="Times New Roman"/>
          <w:color w:val="000000"/>
          <w:szCs w:val="18"/>
          <w:lang w:eastAsia="en-GB"/>
        </w:rPr>
        <w:tab/>
        <w:t>A reserva de lo dispuesto en el párrafo 2, cuando se formule una determinación de la existencia de amenaza de daño o retraso importante (sin que se haya producido todavía el daño) sólo se podrá establecer un derecho antidumping definitivo a partir de la fecha de la determinación de existencia de amenaza de daño o retraso importante y se procederá con prontitud a restituir todo depósito en efectivo hecho durante el período de aplicación de las medidas provisionales y a liberar toda fianza prestada.</w:t>
      </w:r>
    </w:p>
    <w:p w14:paraId="2C8499E8" w14:textId="77777777"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10.5</w:t>
      </w:r>
      <w:r w:rsidRPr="00E50242">
        <w:rPr>
          <w:rFonts w:eastAsia="Times New Roman" w:cs="Times New Roman"/>
          <w:color w:val="000000"/>
          <w:szCs w:val="18"/>
          <w:lang w:eastAsia="en-GB"/>
        </w:rPr>
        <w:tab/>
        <w:t>Cuando la determinación definitiva sea negativa, se procederá con prontitud a restituir todo depósito en efectivo hecho durante el período de aplicación de las medidas provisionales y a liberar toda fianza prestada.</w:t>
      </w:r>
    </w:p>
    <w:p w14:paraId="09ACE2ED" w14:textId="77777777"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10.6</w:t>
      </w:r>
      <w:r w:rsidRPr="00E50242">
        <w:rPr>
          <w:rFonts w:eastAsia="Times New Roman" w:cs="Times New Roman"/>
          <w:color w:val="000000"/>
          <w:szCs w:val="18"/>
          <w:lang w:eastAsia="en-GB"/>
        </w:rPr>
        <w:tab/>
        <w:t>Podrá percibirse un derecho antidumping definitivo sobre los productos que se hayan declarado a consumo 90 días como máximo antes de la fecha de aplicación de las medidas provisionales cuando, en relación con el producto objeto de dumping considerado, las autoridades determinen:</w:t>
      </w:r>
    </w:p>
    <w:p w14:paraId="7BBED936" w14:textId="0BF32E8E" w:rsidR="00E50242" w:rsidRPr="001A6A7F" w:rsidRDefault="00E50242" w:rsidP="00876742">
      <w:pPr>
        <w:spacing w:after="240"/>
        <w:ind w:left="1418" w:hanging="851"/>
        <w:rPr>
          <w:lang w:eastAsia="en-GB"/>
        </w:rPr>
      </w:pPr>
      <w:r w:rsidRPr="00E50242">
        <w:rPr>
          <w:lang w:eastAsia="en-GB"/>
        </w:rPr>
        <w:t>i)</w:t>
      </w:r>
      <w:r w:rsidRPr="00E50242">
        <w:rPr>
          <w:lang w:eastAsia="en-GB"/>
        </w:rPr>
        <w:tab/>
        <w:t>que hay antecedentes de dumping causante de daño, o que el importador sabía o debía haber sabido que el exportador practicaba el dumping y que éste causaría daño, y</w:t>
      </w:r>
    </w:p>
    <w:p w14:paraId="08A64D8A" w14:textId="5B9B9F1A" w:rsidR="00E50242" w:rsidRPr="001A6A7F" w:rsidRDefault="00E50242" w:rsidP="00876742">
      <w:pPr>
        <w:spacing w:after="240"/>
        <w:ind w:left="1418" w:hanging="851"/>
        <w:rPr>
          <w:rFonts w:eastAsia="Times New Roman" w:cs="Times New Roman"/>
          <w:color w:val="000000"/>
          <w:szCs w:val="18"/>
          <w:lang w:eastAsia="en-GB"/>
        </w:rPr>
      </w:pPr>
      <w:r w:rsidRPr="00E50242">
        <w:rPr>
          <w:rFonts w:eastAsia="Times New Roman" w:cs="Times New Roman"/>
          <w:color w:val="000000"/>
          <w:szCs w:val="18"/>
          <w:lang w:eastAsia="en-GB"/>
        </w:rPr>
        <w:t>ii)</w:t>
      </w:r>
      <w:r w:rsidRPr="00E50242">
        <w:rPr>
          <w:rFonts w:eastAsia="Times New Roman" w:cs="Times New Roman"/>
          <w:color w:val="000000"/>
          <w:szCs w:val="18"/>
          <w:lang w:eastAsia="en-GB"/>
        </w:rPr>
        <w:tab/>
        <w:t>que el daño se debe a importaciones masivas de un producto objeto de dumping, efectuadas en un lapso de tiempo relativamente corto que, habida cuenta del momento en que se han efectuado las importaciones objeto de dumping, su volumen y otras circunstancias (tales como una rápida acumulación de existencias del producto importado), es probable socaven gravemente el efecto reparador del derecho antidumping definitivo que deba aplicarse, a condición de que se haya dado a los importadores interesados la oportunidad de formular observaciones.</w:t>
      </w:r>
    </w:p>
    <w:p w14:paraId="716329D4" w14:textId="77777777"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10.7</w:t>
      </w:r>
      <w:r w:rsidRPr="00E50242">
        <w:rPr>
          <w:rFonts w:eastAsia="Times New Roman" w:cs="Times New Roman"/>
          <w:color w:val="000000"/>
          <w:szCs w:val="18"/>
          <w:lang w:eastAsia="en-GB"/>
        </w:rPr>
        <w:tab/>
        <w:t>Tras el inicio de una investigación, las autoridades podrán adoptar las medidas que puedan ser necesarias, como la suspensión de la valoración en aduana o de la liquidación de los derechos, para percibir retroactivamente derechos antidumping según lo previsto en el párrafo 6, una vez que dispongan de pruebas suficientes de que se cumplen las condiciones establecidas en dichos párrafos.</w:t>
      </w:r>
    </w:p>
    <w:p w14:paraId="7288FA28" w14:textId="77777777"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10.8</w:t>
      </w:r>
      <w:r w:rsidRPr="00E50242">
        <w:rPr>
          <w:rFonts w:eastAsia="Times New Roman" w:cs="Times New Roman"/>
          <w:color w:val="000000"/>
          <w:szCs w:val="18"/>
          <w:lang w:eastAsia="en-GB"/>
        </w:rPr>
        <w:tab/>
        <w:t>No se percibirán retroactivamente derechos de conformidad con el párrafo 6 sobre los productos declarados a consumo antes de la fecha de iniciación de la investigación.</w:t>
      </w:r>
    </w:p>
    <w:p w14:paraId="563DB57D" w14:textId="77777777" w:rsidR="00E50242" w:rsidRPr="006C4965" w:rsidRDefault="00E50242" w:rsidP="006461D4">
      <w:pPr>
        <w:spacing w:after="240"/>
        <w:jc w:val="center"/>
        <w:rPr>
          <w:rFonts w:eastAsia="Times New Roman" w:cs="Times New Roman"/>
          <w:color w:val="000000"/>
          <w:szCs w:val="18"/>
          <w:lang w:eastAsia="en-GB"/>
        </w:rPr>
      </w:pPr>
      <w:r w:rsidRPr="006C4965">
        <w:rPr>
          <w:rFonts w:eastAsia="Times New Roman" w:cs="Times New Roman"/>
          <w:i/>
          <w:color w:val="000000"/>
          <w:szCs w:val="18"/>
          <w:lang w:eastAsia="en-GB"/>
        </w:rPr>
        <w:t>Artículo 11</w:t>
      </w:r>
    </w:p>
    <w:p w14:paraId="787C277E" w14:textId="2626BDA9" w:rsidR="00E50242" w:rsidRPr="001A6A7F" w:rsidRDefault="00E50242" w:rsidP="00E50242">
      <w:pPr>
        <w:spacing w:after="240"/>
        <w:jc w:val="center"/>
        <w:rPr>
          <w:rFonts w:eastAsia="Times New Roman" w:cs="Times New Roman"/>
          <w:color w:val="000000"/>
          <w:szCs w:val="18"/>
          <w:lang w:eastAsia="en-GB"/>
        </w:rPr>
      </w:pPr>
      <w:r w:rsidRPr="00E50242">
        <w:rPr>
          <w:rFonts w:eastAsia="Times New Roman" w:cs="Times New Roman"/>
          <w:i/>
          <w:color w:val="000000"/>
          <w:szCs w:val="18"/>
          <w:lang w:eastAsia="en-GB"/>
        </w:rPr>
        <w:t>Duración y examen de los derechos antidumping y de los</w:t>
      </w:r>
      <w:r w:rsidRPr="00E50242">
        <w:rPr>
          <w:rFonts w:eastAsia="Times New Roman" w:cs="Times New Roman"/>
          <w:color w:val="000000"/>
          <w:szCs w:val="18"/>
          <w:lang w:eastAsia="en-GB"/>
        </w:rPr>
        <w:t xml:space="preserve"> </w:t>
      </w:r>
      <w:r w:rsidR="00E66870">
        <w:rPr>
          <w:rFonts w:eastAsia="Times New Roman" w:cs="Times New Roman"/>
          <w:color w:val="000000"/>
          <w:szCs w:val="18"/>
          <w:lang w:eastAsia="en-GB"/>
        </w:rPr>
        <w:br/>
      </w:r>
      <w:r w:rsidRPr="00E50242">
        <w:rPr>
          <w:rFonts w:eastAsia="Times New Roman" w:cs="Times New Roman"/>
          <w:i/>
          <w:color w:val="000000"/>
          <w:szCs w:val="18"/>
          <w:lang w:eastAsia="en-GB"/>
        </w:rPr>
        <w:t>compromisos relativos a los precios</w:t>
      </w:r>
    </w:p>
    <w:p w14:paraId="0BC90C20" w14:textId="6DBE0D23"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11.1</w:t>
      </w:r>
      <w:r w:rsidRPr="00E50242">
        <w:rPr>
          <w:rFonts w:eastAsia="Times New Roman" w:cs="Times New Roman"/>
          <w:color w:val="000000"/>
          <w:szCs w:val="18"/>
          <w:lang w:eastAsia="en-GB"/>
        </w:rPr>
        <w:tab/>
        <w:t>Un derecho antidumping sólo permanecerá en vigor durante el tiempo y en la medida necesarios para contrarrestar el dumping que esté</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causando daño.</w:t>
      </w:r>
    </w:p>
    <w:p w14:paraId="2DDC5085" w14:textId="7A27D11F"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11.2</w:t>
      </w:r>
      <w:r w:rsidRPr="00E50242">
        <w:rPr>
          <w:rFonts w:eastAsia="Times New Roman" w:cs="Times New Roman"/>
          <w:color w:val="000000"/>
          <w:szCs w:val="18"/>
          <w:lang w:eastAsia="en-GB"/>
        </w:rPr>
        <w:tab/>
        <w:t xml:space="preserve">Cuando ello esté justificado, las autoridades examinarán la necesidad de mantener el derecho, por propia iniciativa o, siempre que haya transcurrido un período prudencial desde el establecimiento del derecho antidumping definitivo, a petición de cualquier parte interesada que presente </w:t>
      </w:r>
      <w:r w:rsidRPr="00E50242">
        <w:rPr>
          <w:rFonts w:eastAsia="Times New Roman" w:cs="Times New Roman"/>
          <w:color w:val="000000"/>
          <w:szCs w:val="18"/>
          <w:lang w:eastAsia="en-GB"/>
        </w:rPr>
        <w:lastRenderedPageBreak/>
        <w:t>informaciones positivas probatorias de la necesidad del examen.</w:t>
      </w:r>
      <w:r w:rsidRPr="00E50242">
        <w:rPr>
          <w:rFonts w:eastAsia="Times New Roman" w:cs="Times New Roman"/>
          <w:color w:val="000000"/>
          <w:szCs w:val="18"/>
          <w:vertAlign w:val="superscript"/>
          <w:lang w:eastAsia="en-GB"/>
        </w:rPr>
        <w:footnoteReference w:id="21"/>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Las partes interesadas tendrán derecho a pedir a las autoridades que examinen si es necesario mantener el derecho para neutralizar el dumping, si sería probable que el daño siguiera produciéndose o volviera a producirse en caso de que el derecho fuera suprimido o modificado, o ambos aspectos.</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En caso de que, a consecuencia de un examen realizado de conformidad con el presente párrafo, las autoridades determinen que el derecho antidumping no está ya justificado, deberá suprimirse inmediatamente.</w:t>
      </w:r>
    </w:p>
    <w:p w14:paraId="2CFE24F9" w14:textId="648E7EFB"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11.3</w:t>
      </w:r>
      <w:r w:rsidRPr="00E50242">
        <w:rPr>
          <w:rFonts w:eastAsia="Times New Roman" w:cs="Times New Roman"/>
          <w:color w:val="000000"/>
          <w:szCs w:val="18"/>
          <w:lang w:eastAsia="en-GB"/>
        </w:rPr>
        <w:tab/>
        <w:t>No obstante lo dispuesto en los párrafos 1 y 2, todo derecho antidumping definitivo será suprimido, a más tardar, en un plazo de cinco años contados desde la fecha de su imposición (o</w:t>
      </w:r>
      <w:r w:rsidR="00E66870">
        <w:rPr>
          <w:rFonts w:eastAsia="Times New Roman" w:cs="Times New Roman"/>
          <w:color w:val="000000"/>
          <w:szCs w:val="18"/>
          <w:lang w:eastAsia="en-GB"/>
        </w:rPr>
        <w:t> </w:t>
      </w:r>
      <w:r w:rsidRPr="00E50242">
        <w:rPr>
          <w:rFonts w:eastAsia="Times New Roman" w:cs="Times New Roman"/>
          <w:color w:val="000000"/>
          <w:szCs w:val="18"/>
          <w:lang w:eastAsia="en-GB"/>
        </w:rPr>
        <w:t>desde la fecha del último examen, realizado de conformidad con el párrafo 2, si ese examen hubiera abarcado tanto el dumping como el daño, o del último realizado en virtud del presente párrafo), salvo que las autoridades, en un examen iniciado antes de esa fecha por propia iniciativa o a raíz de una petición debidamente fundamentada hecha por</w:t>
      </w:r>
      <w:r w:rsidR="00E66870">
        <w:rPr>
          <w:rFonts w:eastAsia="Times New Roman" w:cs="Times New Roman"/>
          <w:color w:val="000000"/>
          <w:szCs w:val="18"/>
          <w:lang w:eastAsia="en-GB"/>
        </w:rPr>
        <w:t xml:space="preserve"> </w:t>
      </w:r>
      <w:r w:rsidRPr="00E50242">
        <w:rPr>
          <w:rFonts w:eastAsia="Times New Roman" w:cs="Times New Roman"/>
          <w:color w:val="000000"/>
          <w:szCs w:val="18"/>
          <w:lang w:eastAsia="en-GB"/>
        </w:rPr>
        <w:t>o en nombre de la rama de producción nacional con una antelación prudencial a dicha fecha, determinen que la supresión del derecho daría lugar a la continuación o la repetición del daño y del dumping.</w:t>
      </w:r>
      <w:r w:rsidRPr="00E50242">
        <w:rPr>
          <w:rFonts w:eastAsia="Times New Roman" w:cs="Times New Roman"/>
          <w:color w:val="000000"/>
          <w:szCs w:val="18"/>
          <w:vertAlign w:val="superscript"/>
          <w:lang w:eastAsia="en-GB"/>
        </w:rPr>
        <w:footnoteReference w:id="22"/>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El derecho podrá seguir aplicándose a la espera del resultado del examen.</w:t>
      </w:r>
    </w:p>
    <w:p w14:paraId="3AAC6952" w14:textId="3957397C"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11.4</w:t>
      </w:r>
      <w:r w:rsidRPr="00E50242">
        <w:rPr>
          <w:rFonts w:eastAsia="Times New Roman" w:cs="Times New Roman"/>
          <w:color w:val="000000"/>
          <w:szCs w:val="18"/>
          <w:lang w:eastAsia="en-GB"/>
        </w:rPr>
        <w:tab/>
        <w:t>Las disposiciones del artículo 6 sobre pruebas y procedimiento serán aplicables a los exámenes realizados de conformidad con el presente artículo.</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Dichos exámenes se realizarán rápidamente, y normalmente se terminarán dentro de los 12 meses siguientes a la fecha de su iniciación.</w:t>
      </w:r>
    </w:p>
    <w:p w14:paraId="61AF4AE6" w14:textId="77777777"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11.5</w:t>
      </w:r>
      <w:r w:rsidRPr="00E50242">
        <w:rPr>
          <w:rFonts w:eastAsia="Times New Roman" w:cs="Times New Roman"/>
          <w:color w:val="000000"/>
          <w:szCs w:val="18"/>
          <w:lang w:eastAsia="en-GB"/>
        </w:rPr>
        <w:tab/>
        <w:t xml:space="preserve">Las disposiciones del presente artículo serán aplicables </w:t>
      </w:r>
      <w:r w:rsidRPr="00E50242">
        <w:rPr>
          <w:rFonts w:eastAsia="Times New Roman" w:cs="Times New Roman"/>
          <w:i/>
          <w:color w:val="000000"/>
          <w:szCs w:val="18"/>
          <w:lang w:eastAsia="en-GB"/>
        </w:rPr>
        <w:t>mutatis</w:t>
      </w:r>
      <w:r w:rsidRPr="00E50242">
        <w:rPr>
          <w:rFonts w:eastAsia="Times New Roman" w:cs="Times New Roman"/>
          <w:color w:val="000000"/>
          <w:szCs w:val="18"/>
          <w:lang w:eastAsia="en-GB"/>
        </w:rPr>
        <w:t xml:space="preserve"> </w:t>
      </w:r>
      <w:r w:rsidRPr="00E50242">
        <w:rPr>
          <w:rFonts w:eastAsia="Times New Roman" w:cs="Times New Roman"/>
          <w:i/>
          <w:color w:val="000000"/>
          <w:szCs w:val="18"/>
          <w:lang w:eastAsia="en-GB"/>
        </w:rPr>
        <w:t>mutandis</w:t>
      </w:r>
      <w:r w:rsidRPr="00E50242">
        <w:rPr>
          <w:lang w:eastAsia="en-GB"/>
        </w:rPr>
        <w:t xml:space="preserve"> </w:t>
      </w:r>
      <w:r w:rsidRPr="00E50242">
        <w:rPr>
          <w:rFonts w:eastAsia="Times New Roman" w:cs="Times New Roman"/>
          <w:color w:val="000000"/>
          <w:szCs w:val="18"/>
          <w:lang w:eastAsia="en-GB"/>
        </w:rPr>
        <w:t>a los compromisos en materia de precios aceptados de conformidad con el artículo 8.</w:t>
      </w:r>
    </w:p>
    <w:p w14:paraId="55617DAC" w14:textId="77777777" w:rsidR="00E50242" w:rsidRPr="006C4965" w:rsidRDefault="00E50242" w:rsidP="00447020">
      <w:pPr>
        <w:spacing w:after="240"/>
        <w:jc w:val="center"/>
        <w:rPr>
          <w:rFonts w:eastAsia="Times New Roman" w:cs="Times New Roman"/>
          <w:color w:val="000000"/>
          <w:szCs w:val="18"/>
          <w:lang w:eastAsia="en-GB"/>
        </w:rPr>
      </w:pPr>
      <w:r w:rsidRPr="006C4965">
        <w:rPr>
          <w:rFonts w:eastAsia="Times New Roman" w:cs="Times New Roman"/>
          <w:i/>
          <w:color w:val="000000"/>
          <w:szCs w:val="18"/>
          <w:lang w:eastAsia="en-GB"/>
        </w:rPr>
        <w:t>Artículo 12</w:t>
      </w:r>
    </w:p>
    <w:p w14:paraId="7CF44172" w14:textId="77777777" w:rsidR="00E50242" w:rsidRPr="001A6A7F" w:rsidRDefault="00E50242" w:rsidP="00E50242">
      <w:pPr>
        <w:spacing w:after="240"/>
        <w:jc w:val="center"/>
        <w:rPr>
          <w:rFonts w:eastAsia="Times New Roman" w:cs="Times New Roman"/>
          <w:color w:val="000000"/>
          <w:szCs w:val="18"/>
          <w:lang w:eastAsia="en-GB"/>
        </w:rPr>
      </w:pPr>
      <w:r w:rsidRPr="00E50242">
        <w:rPr>
          <w:rFonts w:eastAsia="Times New Roman" w:cs="Times New Roman"/>
          <w:i/>
          <w:color w:val="000000"/>
          <w:szCs w:val="18"/>
          <w:lang w:eastAsia="en-GB"/>
        </w:rPr>
        <w:t>Aviso público y explicación de las determinaciones</w:t>
      </w:r>
    </w:p>
    <w:p w14:paraId="5AA0CCF8" w14:textId="77777777"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12.1</w:t>
      </w:r>
      <w:r w:rsidRPr="00E50242">
        <w:rPr>
          <w:rFonts w:eastAsia="Times New Roman" w:cs="Times New Roman"/>
          <w:color w:val="000000"/>
          <w:szCs w:val="18"/>
          <w:lang w:eastAsia="en-GB"/>
        </w:rPr>
        <w:tab/>
        <w:t>Cuando las autoridades se hayan cerciorado de que existen pruebas suficientes para justificar la iniciación de una investigación antidumping con arreglo al artículo 5, lo notificarán al Miembro o Miembros cuyos productos vayan a ser objeto de tal investigación y a las demás partes interesadas de cuyo interés tenga conocimiento la autoridad investigadora, y se dará el aviso público correspondiente.</w:t>
      </w:r>
    </w:p>
    <w:p w14:paraId="7E58E695" w14:textId="6C59ED1C" w:rsidR="00E50242" w:rsidRPr="001A6A7F" w:rsidRDefault="00E50242" w:rsidP="001E6F9F">
      <w:pPr>
        <w:spacing w:after="240"/>
        <w:ind w:left="1418" w:hanging="851"/>
        <w:rPr>
          <w:lang w:eastAsia="en-GB"/>
        </w:rPr>
      </w:pPr>
      <w:r w:rsidRPr="00E50242">
        <w:rPr>
          <w:lang w:eastAsia="en-GB"/>
        </w:rPr>
        <w:t>12.1.1</w:t>
      </w:r>
      <w:r w:rsidRPr="00E50242">
        <w:rPr>
          <w:lang w:eastAsia="en-GB"/>
        </w:rPr>
        <w:tab/>
        <w:t>En los avisos públicos de iniciación de una investigación figurará, o se hará constar de otro modo mediante un informe separado</w:t>
      </w:r>
      <w:r w:rsidRPr="00E50242">
        <w:rPr>
          <w:vertAlign w:val="superscript"/>
          <w:lang w:eastAsia="en-GB"/>
        </w:rPr>
        <w:footnoteReference w:id="23"/>
      </w:r>
      <w:r w:rsidRPr="00E50242">
        <w:rPr>
          <w:lang w:eastAsia="en-GB"/>
        </w:rPr>
        <w:t>, la debida información sobre lo siguiente:</w:t>
      </w:r>
    </w:p>
    <w:p w14:paraId="26D073BB" w14:textId="7F8765DC" w:rsidR="00E50242" w:rsidRPr="001A6A7F" w:rsidRDefault="00E50242" w:rsidP="001E6F9F">
      <w:pPr>
        <w:spacing w:after="240"/>
        <w:ind w:left="1985" w:hanging="567"/>
        <w:rPr>
          <w:lang w:eastAsia="en-GB"/>
        </w:rPr>
      </w:pPr>
      <w:r w:rsidRPr="00E50242">
        <w:rPr>
          <w:lang w:eastAsia="en-GB"/>
        </w:rPr>
        <w:t>i)</w:t>
      </w:r>
      <w:r w:rsidRPr="00E50242">
        <w:rPr>
          <w:lang w:eastAsia="en-GB"/>
        </w:rPr>
        <w:tab/>
        <w:t>el nombre del país o países exportadores y el producto de que se trate;</w:t>
      </w:r>
    </w:p>
    <w:p w14:paraId="33EB7FE8" w14:textId="10076E22" w:rsidR="00E50242" w:rsidRPr="001A6A7F" w:rsidRDefault="00E50242" w:rsidP="001E6F9F">
      <w:pPr>
        <w:spacing w:after="240"/>
        <w:ind w:left="1985" w:hanging="567"/>
        <w:rPr>
          <w:rFonts w:eastAsia="Times New Roman" w:cs="Times New Roman"/>
          <w:color w:val="000000"/>
          <w:szCs w:val="18"/>
          <w:lang w:eastAsia="en-GB"/>
        </w:rPr>
      </w:pPr>
      <w:r w:rsidRPr="00E50242">
        <w:rPr>
          <w:rFonts w:eastAsia="Times New Roman" w:cs="Times New Roman"/>
          <w:color w:val="000000"/>
          <w:szCs w:val="18"/>
          <w:lang w:eastAsia="en-GB"/>
        </w:rPr>
        <w:t>ii)</w:t>
      </w:r>
      <w:r w:rsidRPr="00E50242">
        <w:rPr>
          <w:rFonts w:eastAsia="Times New Roman" w:cs="Times New Roman"/>
          <w:color w:val="000000"/>
          <w:szCs w:val="18"/>
          <w:lang w:eastAsia="en-GB"/>
        </w:rPr>
        <w:tab/>
        <w:t>la fecha de iniciación de la investigación;</w:t>
      </w:r>
    </w:p>
    <w:p w14:paraId="6DA3FDA1" w14:textId="3AEFFB3F" w:rsidR="00E50242" w:rsidRPr="001A6A7F" w:rsidRDefault="00E50242" w:rsidP="001E6F9F">
      <w:pPr>
        <w:spacing w:after="240"/>
        <w:ind w:left="1985" w:hanging="567"/>
        <w:rPr>
          <w:rFonts w:eastAsia="Times New Roman" w:cs="Times New Roman"/>
          <w:color w:val="000000"/>
          <w:szCs w:val="18"/>
          <w:lang w:eastAsia="en-GB"/>
        </w:rPr>
      </w:pPr>
      <w:r w:rsidRPr="00E50242">
        <w:rPr>
          <w:rFonts w:eastAsia="Times New Roman" w:cs="Times New Roman"/>
          <w:color w:val="000000"/>
          <w:szCs w:val="18"/>
          <w:lang w:eastAsia="en-GB"/>
        </w:rPr>
        <w:t>iii)</w:t>
      </w:r>
      <w:r w:rsidRPr="00E50242">
        <w:rPr>
          <w:rFonts w:eastAsia="Times New Roman" w:cs="Times New Roman"/>
          <w:color w:val="000000"/>
          <w:szCs w:val="18"/>
          <w:lang w:eastAsia="en-GB"/>
        </w:rPr>
        <w:tab/>
        <w:t>la base de la alegación de dumping formulada en la solicitud;</w:t>
      </w:r>
    </w:p>
    <w:p w14:paraId="653399F1" w14:textId="7729DB10" w:rsidR="00E50242" w:rsidRPr="001A6A7F" w:rsidRDefault="00E50242" w:rsidP="001E6F9F">
      <w:pPr>
        <w:spacing w:after="240"/>
        <w:ind w:left="1985" w:hanging="567"/>
        <w:rPr>
          <w:rFonts w:eastAsia="Times New Roman" w:cs="Times New Roman"/>
          <w:color w:val="000000"/>
          <w:szCs w:val="18"/>
          <w:lang w:eastAsia="en-GB"/>
        </w:rPr>
      </w:pPr>
      <w:r w:rsidRPr="00E50242">
        <w:rPr>
          <w:rFonts w:eastAsia="Times New Roman" w:cs="Times New Roman"/>
          <w:color w:val="000000"/>
          <w:szCs w:val="18"/>
          <w:lang w:eastAsia="en-GB"/>
        </w:rPr>
        <w:t>iv)</w:t>
      </w:r>
      <w:r w:rsidRPr="00E50242">
        <w:rPr>
          <w:rFonts w:eastAsia="Times New Roman" w:cs="Times New Roman"/>
          <w:color w:val="000000"/>
          <w:szCs w:val="18"/>
          <w:lang w:eastAsia="en-GB"/>
        </w:rPr>
        <w:tab/>
        <w:t>un resumen de los factores en los que se basa la alegación de daño;</w:t>
      </w:r>
    </w:p>
    <w:p w14:paraId="786EA2D0" w14:textId="10367B97" w:rsidR="00E50242" w:rsidRPr="001A6A7F" w:rsidRDefault="00E50242" w:rsidP="001E6F9F">
      <w:pPr>
        <w:spacing w:after="240"/>
        <w:ind w:left="1985" w:hanging="567"/>
        <w:rPr>
          <w:rFonts w:eastAsia="Times New Roman" w:cs="Times New Roman"/>
          <w:color w:val="000000"/>
          <w:szCs w:val="18"/>
          <w:lang w:eastAsia="en-GB"/>
        </w:rPr>
      </w:pPr>
      <w:r w:rsidRPr="00E50242">
        <w:rPr>
          <w:rFonts w:eastAsia="Times New Roman" w:cs="Times New Roman"/>
          <w:color w:val="000000"/>
          <w:szCs w:val="18"/>
          <w:lang w:eastAsia="en-GB"/>
        </w:rPr>
        <w:t>v)</w:t>
      </w:r>
      <w:r w:rsidRPr="00E50242">
        <w:rPr>
          <w:rFonts w:eastAsia="Times New Roman" w:cs="Times New Roman"/>
          <w:color w:val="000000"/>
          <w:szCs w:val="18"/>
          <w:lang w:eastAsia="en-GB"/>
        </w:rPr>
        <w:tab/>
        <w:t>la dirección a la cual han de dirigirse las representaciones formuladas por las partes interesadas;</w:t>
      </w:r>
    </w:p>
    <w:p w14:paraId="1FD606FE" w14:textId="705B2A43" w:rsidR="00E50242" w:rsidRPr="001A6A7F" w:rsidRDefault="00E50242" w:rsidP="001E6F9F">
      <w:pPr>
        <w:spacing w:after="240"/>
        <w:ind w:left="1985" w:hanging="567"/>
        <w:rPr>
          <w:rFonts w:eastAsia="Times New Roman" w:cs="Times New Roman"/>
          <w:color w:val="000000"/>
          <w:szCs w:val="18"/>
          <w:lang w:eastAsia="en-GB"/>
        </w:rPr>
      </w:pPr>
      <w:r w:rsidRPr="00E50242">
        <w:rPr>
          <w:rFonts w:eastAsia="Times New Roman" w:cs="Times New Roman"/>
          <w:color w:val="000000"/>
          <w:szCs w:val="18"/>
          <w:lang w:eastAsia="en-GB"/>
        </w:rPr>
        <w:t>vi)</w:t>
      </w:r>
      <w:r w:rsidRPr="00E50242">
        <w:rPr>
          <w:rFonts w:eastAsia="Times New Roman" w:cs="Times New Roman"/>
          <w:color w:val="000000"/>
          <w:szCs w:val="18"/>
          <w:lang w:eastAsia="en-GB"/>
        </w:rPr>
        <w:tab/>
        <w:t>los plazos que se den a las partes interesadas para dar a conocer sus opiniones.</w:t>
      </w:r>
    </w:p>
    <w:p w14:paraId="05B98E3D" w14:textId="17C23608" w:rsidR="00E50242" w:rsidRPr="001A6A7F" w:rsidRDefault="00E50242" w:rsidP="008B053C">
      <w:pPr>
        <w:spacing w:after="220"/>
        <w:rPr>
          <w:rFonts w:eastAsia="Times New Roman" w:cs="Times New Roman"/>
          <w:color w:val="000000"/>
          <w:szCs w:val="18"/>
          <w:lang w:eastAsia="en-GB"/>
        </w:rPr>
      </w:pPr>
      <w:r w:rsidRPr="00E50242">
        <w:rPr>
          <w:rFonts w:eastAsia="Times New Roman" w:cs="Times New Roman"/>
          <w:color w:val="000000"/>
          <w:szCs w:val="18"/>
          <w:lang w:eastAsia="en-GB"/>
        </w:rPr>
        <w:lastRenderedPageBreak/>
        <w:t>12.2</w:t>
      </w:r>
      <w:r w:rsidRPr="00E50242">
        <w:rPr>
          <w:rFonts w:eastAsia="Times New Roman" w:cs="Times New Roman"/>
          <w:color w:val="000000"/>
          <w:szCs w:val="18"/>
          <w:lang w:eastAsia="en-GB"/>
        </w:rPr>
        <w:tab/>
        <w:t>Se dará aviso público de todas las determinaciones preliminares o definitivas, positivas o negativas, de toda decisión de aceptar un compromiso en aplicación del artículo 8, de la terminación de tal compromiso y de la terminación de un derecho antidumping definitivo.</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En cada uno de esos avisos figurarán, o se harán constar de otro modo mediante un informe separado, con suficiente detalle las constataciones y conclusiones a que se haya llegado sobre todas las cuestiones de hecho y de derecho que la autoridad investigadora considere pertinentes.</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Todos esos avisos e informes se enviarán al Miembro o Miembros cuyos productos sean objeto de la determinación o compromiso de que se trate, así</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como a las demás partes interesadas de cuyo interés se tenga conocimiento.</w:t>
      </w:r>
    </w:p>
    <w:p w14:paraId="1E68192F" w14:textId="109F855C" w:rsidR="00E50242" w:rsidRPr="001A6A7F" w:rsidRDefault="00E50242" w:rsidP="008B053C">
      <w:pPr>
        <w:spacing w:after="220"/>
        <w:ind w:left="1418" w:hanging="851"/>
        <w:rPr>
          <w:lang w:eastAsia="en-GB"/>
        </w:rPr>
      </w:pPr>
      <w:r w:rsidRPr="00E50242">
        <w:rPr>
          <w:lang w:eastAsia="en-GB"/>
        </w:rPr>
        <w:t>12.2.1</w:t>
      </w:r>
      <w:r w:rsidRPr="00E50242">
        <w:rPr>
          <w:lang w:eastAsia="en-GB"/>
        </w:rPr>
        <w:tab/>
        <w:t>En los avisos públicos de imposición de medidas provisionales figurarán, o se harán constar de otro modo mediante un informe separado, explicaciones suficientemente detalladas de las determinaciones preliminares de la existencia de dumping y de daño y se hará referencia a las cuestiones de hecho y de derecho en que se base la aceptación o el rechazo de los argumentos.</w:t>
      </w:r>
      <w:r w:rsidR="001A6A7F" w:rsidRPr="001A6A7F">
        <w:rPr>
          <w:lang w:eastAsia="en-GB"/>
        </w:rPr>
        <w:t xml:space="preserve"> </w:t>
      </w:r>
      <w:r w:rsidRPr="00E50242">
        <w:rPr>
          <w:lang w:eastAsia="en-GB"/>
        </w:rPr>
        <w:t>En dichos avisos o informes, teniendo debidamente en cuenta lo prescrito en cuanto a la protección de la información confidencial, se indicará en particular:</w:t>
      </w:r>
    </w:p>
    <w:p w14:paraId="410E95C2" w14:textId="558E4F09" w:rsidR="00E50242" w:rsidRPr="001A6A7F" w:rsidRDefault="00E50242" w:rsidP="008B053C">
      <w:pPr>
        <w:spacing w:after="220"/>
        <w:ind w:left="1985" w:hanging="567"/>
        <w:rPr>
          <w:rFonts w:eastAsia="Times New Roman" w:cs="Times New Roman"/>
          <w:color w:val="000000"/>
          <w:szCs w:val="18"/>
          <w:lang w:eastAsia="en-GB"/>
        </w:rPr>
      </w:pPr>
      <w:r w:rsidRPr="00E50242">
        <w:rPr>
          <w:rFonts w:eastAsia="Times New Roman" w:cs="Times New Roman"/>
          <w:color w:val="000000"/>
          <w:szCs w:val="18"/>
          <w:lang w:eastAsia="en-GB"/>
        </w:rPr>
        <w:t>i)</w:t>
      </w:r>
      <w:r w:rsidRPr="00E50242">
        <w:rPr>
          <w:rFonts w:eastAsia="Times New Roman" w:cs="Times New Roman"/>
          <w:color w:val="000000"/>
          <w:szCs w:val="18"/>
          <w:lang w:eastAsia="en-GB"/>
        </w:rPr>
        <w:tab/>
        <w:t>los nombres de los proveedores, o, cuando esto no sea factible, de los países abastecedores de que se trate;</w:t>
      </w:r>
    </w:p>
    <w:p w14:paraId="333A8BD8" w14:textId="3A1103E1" w:rsidR="00E50242" w:rsidRPr="001A6A7F" w:rsidRDefault="00E50242" w:rsidP="008B053C">
      <w:pPr>
        <w:spacing w:after="220"/>
        <w:ind w:left="1985" w:hanging="567"/>
        <w:rPr>
          <w:rFonts w:eastAsia="Times New Roman" w:cs="Times New Roman"/>
          <w:color w:val="000000"/>
          <w:szCs w:val="18"/>
          <w:lang w:eastAsia="en-GB"/>
        </w:rPr>
      </w:pPr>
      <w:r w:rsidRPr="00E50242">
        <w:rPr>
          <w:rFonts w:eastAsia="Times New Roman" w:cs="Times New Roman"/>
          <w:color w:val="000000"/>
          <w:szCs w:val="18"/>
          <w:lang w:eastAsia="en-GB"/>
        </w:rPr>
        <w:t>ii)</w:t>
      </w:r>
      <w:r w:rsidRPr="00E50242">
        <w:rPr>
          <w:rFonts w:eastAsia="Times New Roman" w:cs="Times New Roman"/>
          <w:color w:val="000000"/>
          <w:szCs w:val="18"/>
          <w:lang w:eastAsia="en-GB"/>
        </w:rPr>
        <w:tab/>
        <w:t>una descripción del producto que sea suficiente a efectos aduaneros;</w:t>
      </w:r>
    </w:p>
    <w:p w14:paraId="55ABB78B" w14:textId="736508E1" w:rsidR="00E50242" w:rsidRPr="001A6A7F" w:rsidRDefault="00E50242" w:rsidP="008B053C">
      <w:pPr>
        <w:spacing w:after="220"/>
        <w:ind w:left="1985" w:hanging="567"/>
        <w:rPr>
          <w:rFonts w:eastAsia="Times New Roman" w:cs="Times New Roman"/>
          <w:color w:val="000000"/>
          <w:szCs w:val="18"/>
          <w:lang w:eastAsia="en-GB"/>
        </w:rPr>
      </w:pPr>
      <w:r w:rsidRPr="00E50242">
        <w:rPr>
          <w:rFonts w:eastAsia="Times New Roman" w:cs="Times New Roman"/>
          <w:color w:val="000000"/>
          <w:szCs w:val="18"/>
          <w:lang w:eastAsia="en-GB"/>
        </w:rPr>
        <w:t>iii)</w:t>
      </w:r>
      <w:r w:rsidRPr="00E50242">
        <w:rPr>
          <w:rFonts w:eastAsia="Times New Roman" w:cs="Times New Roman"/>
          <w:color w:val="000000"/>
          <w:szCs w:val="18"/>
          <w:lang w:eastAsia="en-GB"/>
        </w:rPr>
        <w:tab/>
        <w:t>los márgenes de dumping establecidos y una explicación completa de las razones que justifican la metodología utilizada en la determinación y comparación del precio de exportación y el valor normal con arreglo al artículo</w:t>
      </w:r>
      <w:r w:rsidR="00F11273">
        <w:rPr>
          <w:rFonts w:eastAsia="Times New Roman" w:cs="Times New Roman"/>
          <w:color w:val="000000"/>
          <w:szCs w:val="18"/>
          <w:lang w:eastAsia="en-GB"/>
        </w:rPr>
        <w:t> </w:t>
      </w:r>
      <w:r w:rsidRPr="00E50242">
        <w:rPr>
          <w:rFonts w:eastAsia="Times New Roman" w:cs="Times New Roman"/>
          <w:color w:val="000000"/>
          <w:szCs w:val="18"/>
          <w:lang w:eastAsia="en-GB"/>
        </w:rPr>
        <w:t>2;</w:t>
      </w:r>
    </w:p>
    <w:p w14:paraId="0D61A884" w14:textId="414BC6D3" w:rsidR="00E50242" w:rsidRPr="001A6A7F" w:rsidRDefault="00E50242" w:rsidP="008B053C">
      <w:pPr>
        <w:spacing w:after="220"/>
        <w:ind w:left="1985" w:hanging="567"/>
        <w:rPr>
          <w:rFonts w:eastAsia="Times New Roman" w:cs="Times New Roman"/>
          <w:color w:val="000000"/>
          <w:szCs w:val="18"/>
          <w:lang w:eastAsia="en-GB"/>
        </w:rPr>
      </w:pPr>
      <w:r w:rsidRPr="00E50242">
        <w:rPr>
          <w:rFonts w:eastAsia="Times New Roman" w:cs="Times New Roman"/>
          <w:color w:val="000000"/>
          <w:szCs w:val="18"/>
          <w:lang w:eastAsia="en-GB"/>
        </w:rPr>
        <w:t>iv)</w:t>
      </w:r>
      <w:r w:rsidRPr="00E50242">
        <w:rPr>
          <w:rFonts w:eastAsia="Times New Roman" w:cs="Times New Roman"/>
          <w:color w:val="000000"/>
          <w:szCs w:val="18"/>
          <w:lang w:eastAsia="en-GB"/>
        </w:rPr>
        <w:tab/>
        <w:t>las consideraciones relacionadas con la determinación de la existencia de daño según se establece en el artículo 3;</w:t>
      </w:r>
    </w:p>
    <w:p w14:paraId="3A9BE7BD" w14:textId="00A4A567" w:rsidR="00E50242" w:rsidRPr="001A6A7F" w:rsidRDefault="00E50242" w:rsidP="008B053C">
      <w:pPr>
        <w:spacing w:after="220"/>
        <w:ind w:left="1985" w:hanging="567"/>
        <w:rPr>
          <w:rFonts w:eastAsia="Times New Roman" w:cs="Times New Roman"/>
          <w:color w:val="000000"/>
          <w:szCs w:val="18"/>
          <w:lang w:eastAsia="en-GB"/>
        </w:rPr>
      </w:pPr>
      <w:r w:rsidRPr="00E50242">
        <w:rPr>
          <w:rFonts w:eastAsia="Times New Roman" w:cs="Times New Roman"/>
          <w:color w:val="000000"/>
          <w:szCs w:val="18"/>
          <w:lang w:eastAsia="en-GB"/>
        </w:rPr>
        <w:t>v)</w:t>
      </w:r>
      <w:r w:rsidRPr="00E50242">
        <w:rPr>
          <w:rFonts w:eastAsia="Times New Roman" w:cs="Times New Roman"/>
          <w:color w:val="000000"/>
          <w:szCs w:val="18"/>
          <w:lang w:eastAsia="en-GB"/>
        </w:rPr>
        <w:tab/>
        <w:t>las principales razones en que se base la determinación.</w:t>
      </w:r>
    </w:p>
    <w:p w14:paraId="0A17F7A1" w14:textId="262FBB9C" w:rsidR="00E50242" w:rsidRPr="001A6A7F" w:rsidRDefault="00E50242" w:rsidP="008B053C">
      <w:pPr>
        <w:spacing w:after="220"/>
        <w:ind w:left="1418" w:hanging="851"/>
        <w:rPr>
          <w:rFonts w:eastAsia="Times New Roman" w:cs="Times New Roman"/>
          <w:color w:val="000000"/>
          <w:szCs w:val="18"/>
          <w:lang w:eastAsia="en-GB"/>
        </w:rPr>
      </w:pPr>
      <w:r w:rsidRPr="00E50242">
        <w:rPr>
          <w:rFonts w:eastAsia="Times New Roman" w:cs="Times New Roman"/>
          <w:color w:val="000000"/>
          <w:szCs w:val="18"/>
          <w:lang w:eastAsia="en-GB"/>
        </w:rPr>
        <w:t>12.2.2</w:t>
      </w:r>
      <w:r w:rsidRPr="00E50242">
        <w:rPr>
          <w:rFonts w:eastAsia="Times New Roman" w:cs="Times New Roman"/>
          <w:color w:val="000000"/>
          <w:szCs w:val="18"/>
          <w:lang w:eastAsia="en-GB"/>
        </w:rPr>
        <w:tab/>
        <w:t>En los avisos públicos de conclusión o suspensión de una investigación en la cual se haya llegado a una determinación positiva que prevea la imposición de un derecho definitivo o la aceptación de un compromiso en materia de precios, figurará, o se hará constar de otro modo mediante un informe separado, toda la información pertinente sobre las cuestiones de hecho y de derecho y las razones que hayan llevado a la imposición de medidas definitivas o a la aceptación de compromisos en materia de precios, teniendo debidamente en cuenta lo prescrito en cuanto a la protección de la información confidencial.</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En el aviso o informe figurará en particular la información indicada en el apartado 2.1, así como los motivos de la aceptación o rechazo de los argumentos o alegaciones pertinentes de los exportadores e importadores, y la base de toda decisión adoptada en virtud del apartado 10.2 del artículo 6.</w:t>
      </w:r>
    </w:p>
    <w:p w14:paraId="53E2C47E" w14:textId="4841B5FB" w:rsidR="00E50242" w:rsidRPr="001A6A7F" w:rsidRDefault="00E50242" w:rsidP="008B053C">
      <w:pPr>
        <w:spacing w:after="220"/>
        <w:ind w:left="1418" w:hanging="851"/>
        <w:rPr>
          <w:rFonts w:eastAsia="Times New Roman" w:cs="Times New Roman"/>
          <w:color w:val="000000"/>
          <w:szCs w:val="18"/>
          <w:lang w:eastAsia="en-GB"/>
        </w:rPr>
      </w:pPr>
      <w:r w:rsidRPr="00E50242">
        <w:rPr>
          <w:rFonts w:eastAsia="Times New Roman" w:cs="Times New Roman"/>
          <w:color w:val="000000"/>
          <w:szCs w:val="18"/>
          <w:lang w:eastAsia="en-GB"/>
        </w:rPr>
        <w:t>12.2.3</w:t>
      </w:r>
      <w:r w:rsidRPr="00E50242">
        <w:rPr>
          <w:rFonts w:eastAsia="Times New Roman" w:cs="Times New Roman"/>
          <w:color w:val="000000"/>
          <w:szCs w:val="18"/>
          <w:lang w:eastAsia="en-GB"/>
        </w:rPr>
        <w:tab/>
        <w:t>En los avisos públicos de terminación o suspensión de una investigación a raíz de la aceptación de un compromiso conforme a lo previsto en el artículo 8, figurará, o se hará constar de otro modo mediante un informe separado, la parte no confidencial del compromiso.</w:t>
      </w:r>
    </w:p>
    <w:p w14:paraId="2E303717" w14:textId="77777777" w:rsidR="00E50242" w:rsidRPr="006C4965" w:rsidRDefault="00E50242" w:rsidP="008B053C">
      <w:pPr>
        <w:spacing w:after="220"/>
        <w:rPr>
          <w:rFonts w:eastAsia="Times New Roman" w:cs="Times New Roman"/>
          <w:color w:val="000000"/>
          <w:szCs w:val="18"/>
          <w:lang w:eastAsia="en-GB"/>
        </w:rPr>
      </w:pPr>
      <w:r w:rsidRPr="00E50242">
        <w:rPr>
          <w:rFonts w:eastAsia="Times New Roman" w:cs="Times New Roman"/>
          <w:color w:val="000000"/>
          <w:szCs w:val="18"/>
          <w:lang w:eastAsia="en-GB"/>
        </w:rPr>
        <w:t>12.3</w:t>
      </w:r>
      <w:r w:rsidRPr="00E50242">
        <w:rPr>
          <w:rFonts w:eastAsia="Times New Roman" w:cs="Times New Roman"/>
          <w:color w:val="000000"/>
          <w:szCs w:val="18"/>
          <w:lang w:eastAsia="en-GB"/>
        </w:rPr>
        <w:tab/>
        <w:t xml:space="preserve">Las disposiciones del presente artículo se aplicarán </w:t>
      </w:r>
      <w:r w:rsidRPr="00E50242">
        <w:rPr>
          <w:rFonts w:eastAsia="Times New Roman" w:cs="Times New Roman"/>
          <w:i/>
          <w:color w:val="000000"/>
          <w:szCs w:val="18"/>
          <w:lang w:eastAsia="en-GB"/>
        </w:rPr>
        <w:t>mutatis mutandis</w:t>
      </w:r>
      <w:r w:rsidRPr="00E50242">
        <w:rPr>
          <w:rFonts w:eastAsia="Times New Roman" w:cs="Times New Roman"/>
          <w:color w:val="000000"/>
          <w:szCs w:val="18"/>
          <w:lang w:eastAsia="en-GB"/>
        </w:rPr>
        <w:t xml:space="preserve"> a la iniciación y terminación de los exámenes previstos en el artículo 11 y a las decisiones de aplicación de derechos con efecto retroactivo previstas en el </w:t>
      </w:r>
      <w:r w:rsidRPr="006C4965">
        <w:rPr>
          <w:rFonts w:eastAsia="Times New Roman" w:cs="Times New Roman"/>
          <w:color w:val="000000"/>
          <w:szCs w:val="18"/>
          <w:lang w:eastAsia="en-GB"/>
        </w:rPr>
        <w:t>artículo 10.</w:t>
      </w:r>
    </w:p>
    <w:p w14:paraId="3D87FFD3" w14:textId="77777777" w:rsidR="00E50242" w:rsidRPr="006C4965" w:rsidRDefault="00E50242" w:rsidP="008B053C">
      <w:pPr>
        <w:spacing w:after="220"/>
        <w:jc w:val="center"/>
        <w:rPr>
          <w:rFonts w:eastAsia="Times New Roman" w:cs="Times New Roman"/>
          <w:color w:val="000000"/>
          <w:szCs w:val="18"/>
          <w:lang w:eastAsia="en-GB"/>
        </w:rPr>
      </w:pPr>
      <w:r w:rsidRPr="006C4965">
        <w:rPr>
          <w:rFonts w:eastAsia="Times New Roman" w:cs="Times New Roman"/>
          <w:i/>
          <w:color w:val="000000"/>
          <w:szCs w:val="18"/>
          <w:lang w:eastAsia="en-GB"/>
        </w:rPr>
        <w:t>Artículo 13</w:t>
      </w:r>
    </w:p>
    <w:p w14:paraId="0A781597" w14:textId="77777777" w:rsidR="00E50242" w:rsidRPr="001A6A7F" w:rsidRDefault="00E50242" w:rsidP="008B053C">
      <w:pPr>
        <w:spacing w:after="220"/>
        <w:jc w:val="center"/>
        <w:rPr>
          <w:rFonts w:eastAsia="Times New Roman" w:cs="Times New Roman"/>
          <w:color w:val="000000"/>
          <w:szCs w:val="18"/>
          <w:lang w:eastAsia="en-GB"/>
        </w:rPr>
      </w:pPr>
      <w:r w:rsidRPr="00E50242">
        <w:rPr>
          <w:rFonts w:eastAsia="Times New Roman" w:cs="Times New Roman"/>
          <w:i/>
          <w:color w:val="000000"/>
          <w:szCs w:val="18"/>
          <w:lang w:eastAsia="en-GB"/>
        </w:rPr>
        <w:t>Revisión judicial</w:t>
      </w:r>
    </w:p>
    <w:p w14:paraId="3F89D70D" w14:textId="3E21D48E"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ab/>
        <w:t>Cada Miembro en cuya legislación nacional existan disposiciones sobre medidas antidumping mantendrá tribunales o procedimientos judiciales, arbitrales o administrativos destinados, entre otros fines, a la pronta revisión de las medidas administrativas vinculadas a las determinaciones definitivas y a los exámenes de las determinaciones en el sentido del artículo 11.</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 xml:space="preserve">Dichos tribunales </w:t>
      </w:r>
      <w:r w:rsidRPr="00E50242">
        <w:rPr>
          <w:rFonts w:eastAsia="Times New Roman" w:cs="Times New Roman"/>
          <w:color w:val="000000"/>
          <w:szCs w:val="18"/>
          <w:lang w:eastAsia="en-GB"/>
        </w:rPr>
        <w:lastRenderedPageBreak/>
        <w:t>o procedimientos serán independientes de las autoridades encargadas de la determinación o examen de que se trate.</w:t>
      </w:r>
    </w:p>
    <w:p w14:paraId="33014280" w14:textId="77777777" w:rsidR="00E50242" w:rsidRPr="006C4965" w:rsidRDefault="00E50242" w:rsidP="001454FC">
      <w:pPr>
        <w:keepNext/>
        <w:spacing w:after="240"/>
        <w:jc w:val="center"/>
        <w:rPr>
          <w:rFonts w:eastAsia="Times New Roman" w:cs="Times New Roman"/>
          <w:color w:val="000000"/>
          <w:szCs w:val="18"/>
          <w:lang w:eastAsia="en-GB"/>
        </w:rPr>
      </w:pPr>
      <w:r w:rsidRPr="006C4965">
        <w:rPr>
          <w:rFonts w:eastAsia="Times New Roman" w:cs="Times New Roman"/>
          <w:i/>
          <w:color w:val="000000"/>
          <w:szCs w:val="18"/>
          <w:lang w:eastAsia="en-GB"/>
        </w:rPr>
        <w:t>Artículo 14</w:t>
      </w:r>
    </w:p>
    <w:p w14:paraId="6E64581F" w14:textId="77777777" w:rsidR="00E50242" w:rsidRPr="001A6A7F" w:rsidRDefault="00E50242" w:rsidP="001454FC">
      <w:pPr>
        <w:keepNext/>
        <w:spacing w:after="240"/>
        <w:jc w:val="center"/>
        <w:rPr>
          <w:rFonts w:eastAsia="Times New Roman" w:cs="Times New Roman"/>
          <w:color w:val="000000"/>
          <w:szCs w:val="18"/>
          <w:lang w:eastAsia="en-GB"/>
        </w:rPr>
      </w:pPr>
      <w:r w:rsidRPr="00E50242">
        <w:rPr>
          <w:rFonts w:eastAsia="Times New Roman" w:cs="Times New Roman"/>
          <w:i/>
          <w:color w:val="000000"/>
          <w:szCs w:val="18"/>
          <w:lang w:eastAsia="en-GB"/>
        </w:rPr>
        <w:t>Medidas antidumping a favor de un tercer país</w:t>
      </w:r>
    </w:p>
    <w:p w14:paraId="750C5AE9" w14:textId="77777777"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14.1</w:t>
      </w:r>
      <w:r w:rsidRPr="00E50242">
        <w:rPr>
          <w:rFonts w:eastAsia="Times New Roman" w:cs="Times New Roman"/>
          <w:color w:val="000000"/>
          <w:szCs w:val="18"/>
          <w:lang w:eastAsia="en-GB"/>
        </w:rPr>
        <w:tab/>
        <w:t>La solicitud de que se adopten medidas antidumping a favor de un tercer país habrán de presentarla las autoridades del tercer país que solicite la adopción de esas medidas.</w:t>
      </w:r>
    </w:p>
    <w:p w14:paraId="4281ADA6" w14:textId="75EF9318"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14.2</w:t>
      </w:r>
      <w:r w:rsidRPr="00E50242">
        <w:rPr>
          <w:rFonts w:eastAsia="Times New Roman" w:cs="Times New Roman"/>
          <w:color w:val="000000"/>
          <w:szCs w:val="18"/>
          <w:lang w:eastAsia="en-GB"/>
        </w:rPr>
        <w:tab/>
        <w:t>Tal solicitud habrá de ir apoyada con datos sobre los precios que muestren que las importaciones son objeto de dumping y con información detallada que muestre que el supuesto dumping causa daño a la rama de producción nacional de que se trate del tercer país.</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El gobierno del tercer país prestará todo su concurso a las autoridades del país importador para obtener cualquier información complementaria que aquéllas puedan necesitar.</w:t>
      </w:r>
    </w:p>
    <w:p w14:paraId="15F5E642" w14:textId="0AA2A6EB"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14.3</w:t>
      </w:r>
      <w:r w:rsidRPr="00E50242">
        <w:rPr>
          <w:rFonts w:eastAsia="Times New Roman" w:cs="Times New Roman"/>
          <w:color w:val="000000"/>
          <w:szCs w:val="18"/>
          <w:lang w:eastAsia="en-GB"/>
        </w:rPr>
        <w:tab/>
        <w:t>Las autoridades del país importador, cuando examinen una solicitud de este tipo, considerarán los efectos del supuesto dumping en el conjunto de la rama de producción de que se trate del tercer país;</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es decir, que el daño no se evaluará en relación solamente con el efecto del supuesto dumping en las exportaciones de la rama de producción de que se trate al país importador ni incluso en las exportaciones totales de esta rama de producción.</w:t>
      </w:r>
    </w:p>
    <w:p w14:paraId="319C4DCB" w14:textId="61659C0E"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14.4</w:t>
      </w:r>
      <w:r w:rsidRPr="00E50242">
        <w:rPr>
          <w:rFonts w:eastAsia="Times New Roman" w:cs="Times New Roman"/>
          <w:color w:val="000000"/>
          <w:szCs w:val="18"/>
          <w:lang w:eastAsia="en-GB"/>
        </w:rPr>
        <w:tab/>
        <w:t>La decisión de dar o no dar curso a la solicitud corresponderá al país importador.</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Si éste decide que está dispuesto a adoptar medidas, le corresponderá tomar la iniciativa de dirigirse al Consejo del Comercio de Mercancías para pedir su aprobación.</w:t>
      </w:r>
    </w:p>
    <w:p w14:paraId="30E75AF6" w14:textId="77777777" w:rsidR="00E50242" w:rsidRPr="006C4965" w:rsidRDefault="00E50242" w:rsidP="001454FC">
      <w:pPr>
        <w:spacing w:after="240"/>
        <w:jc w:val="center"/>
        <w:rPr>
          <w:rFonts w:eastAsia="Times New Roman" w:cs="Times New Roman"/>
          <w:color w:val="000000"/>
          <w:szCs w:val="18"/>
          <w:lang w:eastAsia="en-GB"/>
        </w:rPr>
      </w:pPr>
      <w:r w:rsidRPr="006C4965">
        <w:rPr>
          <w:rFonts w:eastAsia="Times New Roman" w:cs="Times New Roman"/>
          <w:i/>
          <w:color w:val="000000"/>
          <w:szCs w:val="18"/>
          <w:lang w:eastAsia="en-GB"/>
        </w:rPr>
        <w:t>Artículo 15</w:t>
      </w:r>
    </w:p>
    <w:p w14:paraId="325556BE" w14:textId="77777777" w:rsidR="00E50242" w:rsidRPr="001A6A7F" w:rsidRDefault="00E50242" w:rsidP="00E50242">
      <w:pPr>
        <w:spacing w:after="240"/>
        <w:jc w:val="center"/>
        <w:rPr>
          <w:rFonts w:eastAsia="Times New Roman" w:cs="Times New Roman"/>
          <w:color w:val="000000"/>
          <w:szCs w:val="18"/>
          <w:lang w:eastAsia="en-GB"/>
        </w:rPr>
      </w:pPr>
      <w:r w:rsidRPr="00E50242">
        <w:rPr>
          <w:rFonts w:eastAsia="Times New Roman" w:cs="Times New Roman"/>
          <w:i/>
          <w:color w:val="000000"/>
          <w:szCs w:val="18"/>
          <w:lang w:eastAsia="en-GB"/>
        </w:rPr>
        <w:t>Países en desarrollo Miembros</w:t>
      </w:r>
    </w:p>
    <w:p w14:paraId="4A23483C" w14:textId="0B7049CA"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ab/>
        <w:t>Se reconoce que los países desarrollados Miembros deberán tener particularmente en cuenta la especial situación de los países en desarrollo Miembros cuando contemplen la aplicación de medidas antidumping en virtud del presente Acuerdo.</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Antes de la aplicación de derechos antidumping se explorarán las posibilidades de hacer uso de las soluciones constructivas previstas por este Acuerdo cuando dichos derechos puedan afectar a los intereses fundamentales de los países en desarrollo Miembros.</w:t>
      </w:r>
    </w:p>
    <w:p w14:paraId="2910AAF1" w14:textId="77777777" w:rsidR="00E50242" w:rsidRPr="006C4965" w:rsidRDefault="00E50242" w:rsidP="001454FC">
      <w:pPr>
        <w:keepNext/>
        <w:spacing w:after="240"/>
        <w:jc w:val="center"/>
        <w:rPr>
          <w:rFonts w:eastAsia="Times New Roman" w:cs="Times New Roman"/>
          <w:color w:val="000000"/>
          <w:szCs w:val="18"/>
          <w:lang w:eastAsia="en-GB"/>
        </w:rPr>
      </w:pPr>
      <w:r w:rsidRPr="006C4965">
        <w:rPr>
          <w:rFonts w:eastAsia="Times New Roman" w:cs="Times New Roman"/>
          <w:color w:val="000000"/>
          <w:szCs w:val="18"/>
          <w:lang w:eastAsia="en-GB"/>
        </w:rPr>
        <w:t>PARTE II</w:t>
      </w:r>
    </w:p>
    <w:p w14:paraId="1F52A398" w14:textId="77777777" w:rsidR="00E50242" w:rsidRPr="006C4965" w:rsidRDefault="00E50242" w:rsidP="00E12201">
      <w:pPr>
        <w:keepNext/>
        <w:spacing w:after="240"/>
        <w:jc w:val="center"/>
        <w:rPr>
          <w:rFonts w:eastAsia="Times New Roman" w:cs="Times New Roman"/>
          <w:color w:val="000000"/>
          <w:szCs w:val="18"/>
          <w:lang w:eastAsia="en-GB"/>
        </w:rPr>
      </w:pPr>
      <w:r w:rsidRPr="006C4965">
        <w:rPr>
          <w:rFonts w:eastAsia="Times New Roman" w:cs="Times New Roman"/>
          <w:i/>
          <w:color w:val="000000"/>
          <w:szCs w:val="18"/>
          <w:lang w:eastAsia="en-GB"/>
        </w:rPr>
        <w:t>Artículo 16</w:t>
      </w:r>
    </w:p>
    <w:p w14:paraId="72BBC732" w14:textId="77777777" w:rsidR="00E50242" w:rsidRPr="001A6A7F" w:rsidRDefault="00E50242" w:rsidP="00E12201">
      <w:pPr>
        <w:keepNext/>
        <w:spacing w:after="240"/>
        <w:jc w:val="center"/>
        <w:rPr>
          <w:rFonts w:eastAsia="Times New Roman" w:cs="Times New Roman"/>
          <w:color w:val="000000"/>
          <w:szCs w:val="18"/>
          <w:lang w:eastAsia="en-GB"/>
        </w:rPr>
      </w:pPr>
      <w:r w:rsidRPr="00E50242">
        <w:rPr>
          <w:rFonts w:eastAsia="Times New Roman" w:cs="Times New Roman"/>
          <w:i/>
          <w:color w:val="000000"/>
          <w:szCs w:val="18"/>
          <w:lang w:eastAsia="en-GB"/>
        </w:rPr>
        <w:t>Comité de Prácticas Antidumping</w:t>
      </w:r>
    </w:p>
    <w:p w14:paraId="2A05CAA4" w14:textId="4D30CA16"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16.1</w:t>
      </w:r>
      <w:r w:rsidRPr="00E50242">
        <w:rPr>
          <w:rFonts w:eastAsia="Times New Roman" w:cs="Times New Roman"/>
          <w:color w:val="000000"/>
          <w:szCs w:val="18"/>
          <w:lang w:eastAsia="en-GB"/>
        </w:rPr>
        <w:tab/>
        <w:t>En virtud del presente Acuerdo se establece un Comité de Prácticas Antidumping (denominado en este Acuerdo el "Comité") compuesto de representantes de cada uno de los Miembros.</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El Comité elegirá a su Presidente y se reunirá por lo menos dos veces al año y siempre que lo solicite un Miembro según lo previsto en las disposiciones pertinentes del presente Acuerdo.</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El Comité desempeñará las funciones que le sean atribuidas en virtud del presente Acuerdo o por los Miembros, y dará a éstos la oportunidad de celebrar consultas sobre cualquier cuestión relacionada con el funcionamiento del Acuerdo o la consecución de sus objetivos.</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Los servicios de secretaría del Comité serán prestados por la Secretaría de la OMC.</w:t>
      </w:r>
    </w:p>
    <w:p w14:paraId="7FDBF5B0" w14:textId="77777777"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16.2</w:t>
      </w:r>
      <w:r w:rsidRPr="00E50242">
        <w:rPr>
          <w:rFonts w:eastAsia="Times New Roman" w:cs="Times New Roman"/>
          <w:color w:val="000000"/>
          <w:szCs w:val="18"/>
          <w:lang w:eastAsia="en-GB"/>
        </w:rPr>
        <w:tab/>
        <w:t>El Comité podrá establecer los órganos auxiliares apropiados.</w:t>
      </w:r>
    </w:p>
    <w:p w14:paraId="61CD2410" w14:textId="547067E2"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16.3</w:t>
      </w:r>
      <w:r w:rsidRPr="00E50242">
        <w:rPr>
          <w:rFonts w:eastAsia="Times New Roman" w:cs="Times New Roman"/>
          <w:color w:val="000000"/>
          <w:szCs w:val="18"/>
          <w:lang w:eastAsia="en-GB"/>
        </w:rPr>
        <w:tab/>
        <w:t>En el desempeño de sus funciones, el Comité y los órganos auxiliares podrán consultar a cualquier fuente que consideren conveniente y recabar información de ésta.</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Sin embargo, antes de recabar información de una fuente que se encuentre bajo la jurisdicción de un Miembro, el Comité o, en su caso, el órgano auxiliar lo comunicará al Miembro interesado.</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Habrá de obtener el consentimiento del Miembro y de toda empresa que haya de consultar.</w:t>
      </w:r>
    </w:p>
    <w:p w14:paraId="5129EBBD" w14:textId="400A5E51"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lastRenderedPageBreak/>
        <w:t>16.4</w:t>
      </w:r>
      <w:r w:rsidRPr="00E50242">
        <w:rPr>
          <w:rFonts w:eastAsia="Times New Roman" w:cs="Times New Roman"/>
          <w:color w:val="000000"/>
          <w:szCs w:val="18"/>
          <w:lang w:eastAsia="en-GB"/>
        </w:rPr>
        <w:tab/>
        <w:t>Los Miembros informarán sin demora al Comité de todas las medidas antidumping que adopten, ya sean preliminares o definitivas.</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Esos informes estarán a disposición en la Secretaría para que puedan examinarlos los demás Miembros.</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Los Miembros presentarán también informes semestrales sobre todas las medidas antidumping que hayan tomado durante los seis meses precedentes.</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Los informes semestrales se presentarán con arreglo a un modelo uniforme convenido.</w:t>
      </w:r>
    </w:p>
    <w:p w14:paraId="17C056C5" w14:textId="37A7D761"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16.5</w:t>
      </w:r>
      <w:r w:rsidRPr="00E50242">
        <w:rPr>
          <w:rFonts w:eastAsia="Times New Roman" w:cs="Times New Roman"/>
          <w:color w:val="000000"/>
          <w:szCs w:val="18"/>
          <w:lang w:eastAsia="en-GB"/>
        </w:rPr>
        <w:tab/>
        <w:t>Cada Miembro notificará al Comité:</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a) cuál es en él la autoridad competente para iniciar y llevar a cabo las investigaciones a que se refiere el artículo 5 y b) los procedimientos internos que en él rigen la iniciación y desarrollo de dichas investigaciones.</w:t>
      </w:r>
    </w:p>
    <w:p w14:paraId="0D655249" w14:textId="77777777" w:rsidR="00E50242" w:rsidRPr="006C4965" w:rsidRDefault="00E50242" w:rsidP="001454FC">
      <w:pPr>
        <w:spacing w:after="240"/>
        <w:jc w:val="center"/>
        <w:rPr>
          <w:rFonts w:eastAsia="Times New Roman" w:cs="Times New Roman"/>
          <w:color w:val="000000"/>
          <w:szCs w:val="18"/>
          <w:lang w:eastAsia="en-GB"/>
        </w:rPr>
      </w:pPr>
      <w:r w:rsidRPr="006C4965">
        <w:rPr>
          <w:rFonts w:eastAsia="Times New Roman" w:cs="Times New Roman"/>
          <w:i/>
          <w:color w:val="000000"/>
          <w:szCs w:val="18"/>
          <w:lang w:eastAsia="en-GB"/>
        </w:rPr>
        <w:t>Artículo 17</w:t>
      </w:r>
    </w:p>
    <w:p w14:paraId="7327176C" w14:textId="77777777" w:rsidR="00E50242" w:rsidRPr="001A6A7F" w:rsidRDefault="00E50242" w:rsidP="00E50242">
      <w:pPr>
        <w:spacing w:after="240"/>
        <w:jc w:val="center"/>
        <w:rPr>
          <w:rFonts w:eastAsia="Times New Roman" w:cs="Times New Roman"/>
          <w:color w:val="000000"/>
          <w:szCs w:val="18"/>
          <w:lang w:eastAsia="en-GB"/>
        </w:rPr>
      </w:pPr>
      <w:r w:rsidRPr="00E50242">
        <w:rPr>
          <w:rFonts w:eastAsia="Times New Roman" w:cs="Times New Roman"/>
          <w:i/>
          <w:color w:val="000000"/>
          <w:szCs w:val="18"/>
          <w:lang w:eastAsia="en-GB"/>
        </w:rPr>
        <w:t>Consultas y solución de diferencias</w:t>
      </w:r>
    </w:p>
    <w:p w14:paraId="34AC1DFD" w14:textId="77777777"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17.1</w:t>
      </w:r>
      <w:r w:rsidRPr="00E50242">
        <w:rPr>
          <w:rFonts w:eastAsia="Times New Roman" w:cs="Times New Roman"/>
          <w:color w:val="000000"/>
          <w:szCs w:val="18"/>
          <w:lang w:eastAsia="en-GB"/>
        </w:rPr>
        <w:tab/>
        <w:t>Salvo disposición en contrario en el presente artículo, será aplicable a las consultas y a la solución de diferencias en el marco del presente Acuerdo el Entendimiento sobre Solución de Diferencias.</w:t>
      </w:r>
    </w:p>
    <w:p w14:paraId="10EDC368" w14:textId="77777777"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17.2</w:t>
      </w:r>
      <w:r w:rsidRPr="00E50242">
        <w:rPr>
          <w:rFonts w:eastAsia="Times New Roman" w:cs="Times New Roman"/>
          <w:color w:val="000000"/>
          <w:szCs w:val="18"/>
          <w:lang w:eastAsia="en-GB"/>
        </w:rPr>
        <w:tab/>
        <w:t>Cada Miembro examinará con comprensión las representaciones que le formule otro Miembro con respecto a toda cuestión que afecte al funcionamiento del presente Acuerdo y brindará oportunidades adecuadas para la celebración de consultas sobre dichas representaciones.</w:t>
      </w:r>
    </w:p>
    <w:p w14:paraId="76EF801F" w14:textId="09B35CE4"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17.3</w:t>
      </w:r>
      <w:r w:rsidRPr="00E50242">
        <w:rPr>
          <w:rFonts w:eastAsia="Times New Roman" w:cs="Times New Roman"/>
          <w:color w:val="000000"/>
          <w:szCs w:val="18"/>
          <w:lang w:eastAsia="en-GB"/>
        </w:rPr>
        <w:tab/>
        <w:t>Si un Miembro considera que una ventaja resultante para él directa o indirectamente del presente Acuerdo se halla anulada o menoscabada, o que la consecución de uno de los objetivos del mismo se ve comprometida, por la acción de otro u otros Miembros, podrá, con objeto de llegar a una solución mutuamente satisfactoria de la cuestión, pedir por escrito la celebración de consultas con el Miembro o Miembros de que se trate.</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Cada Miembro examinará con comprensión toda petición de consultas que le dirija otro Miembro.</w:t>
      </w:r>
    </w:p>
    <w:p w14:paraId="40C80C77" w14:textId="1C6AE8AA"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17.4</w:t>
      </w:r>
      <w:r w:rsidRPr="00E50242">
        <w:rPr>
          <w:rFonts w:eastAsia="Times New Roman" w:cs="Times New Roman"/>
          <w:color w:val="000000"/>
          <w:szCs w:val="18"/>
          <w:lang w:eastAsia="en-GB"/>
        </w:rPr>
        <w:tab/>
        <w:t>Si el Miembro que haya pedido las consultas considera que las consultas celebradas en virtud del párrafo 3 no han permitido hallar una solución mutuamente convenida, y si la autoridad competente del Miembro importador ha adoptado medidas definitivas para percibir derechos antidumping definitivos o aceptar compromisos en materia de precios, podrá someter la cuestión al Órgano de Solución de Diferencias ("OSD").</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Cuando una medida provisional tenga una repercusión significativa y el Miembro que haya pedido las consultas estime que la medida ha sido adoptada en contravención de lo dispuesto en el párrafo 1 del artículo 7, ese Miembro podrá también someter la cuestión al OSD.</w:t>
      </w:r>
    </w:p>
    <w:p w14:paraId="05811EB0" w14:textId="77777777"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17.5</w:t>
      </w:r>
      <w:r w:rsidRPr="00E50242">
        <w:rPr>
          <w:rFonts w:eastAsia="Times New Roman" w:cs="Times New Roman"/>
          <w:color w:val="000000"/>
          <w:szCs w:val="18"/>
          <w:lang w:eastAsia="en-GB"/>
        </w:rPr>
        <w:tab/>
        <w:t>El OSD, previa petición de la parte reclamante, establecerá un grupo especial para que examine el asunto sobre la base de:</w:t>
      </w:r>
    </w:p>
    <w:p w14:paraId="4DF77A0C" w14:textId="7948DA4C" w:rsidR="00E50242" w:rsidRPr="001A6A7F" w:rsidRDefault="00E50242" w:rsidP="00492E41">
      <w:pPr>
        <w:spacing w:after="240"/>
        <w:ind w:left="1418" w:hanging="851"/>
        <w:rPr>
          <w:rFonts w:eastAsia="Times New Roman" w:cs="Times New Roman"/>
          <w:color w:val="000000"/>
          <w:szCs w:val="18"/>
          <w:lang w:eastAsia="en-GB"/>
        </w:rPr>
      </w:pPr>
      <w:r w:rsidRPr="00E50242">
        <w:rPr>
          <w:rFonts w:eastAsia="Times New Roman" w:cs="Times New Roman"/>
          <w:color w:val="000000"/>
          <w:szCs w:val="18"/>
          <w:lang w:eastAsia="en-GB"/>
        </w:rPr>
        <w:t>i)</w:t>
      </w:r>
      <w:r w:rsidRPr="00E50242">
        <w:rPr>
          <w:rFonts w:eastAsia="Times New Roman" w:cs="Times New Roman"/>
          <w:color w:val="000000"/>
          <w:szCs w:val="18"/>
          <w:lang w:eastAsia="en-GB"/>
        </w:rPr>
        <w:tab/>
        <w:t>una declaración por escrito del Miembro que ha presentado la petición, en la que indicará de qué modo ha sido anulada o menoscabada una ventaja resultante para él directa o indirectamente del presente Acuerdo, o bien que está comprometida la consecución de los objetivos del Acuerdo, y</w:t>
      </w:r>
    </w:p>
    <w:p w14:paraId="10D59266" w14:textId="002F2A2F" w:rsidR="00E50242" w:rsidRPr="001A6A7F" w:rsidRDefault="00E50242" w:rsidP="00492E41">
      <w:pPr>
        <w:spacing w:after="240"/>
        <w:ind w:left="1418" w:hanging="851"/>
        <w:rPr>
          <w:rFonts w:eastAsia="Times New Roman" w:cs="Times New Roman"/>
          <w:color w:val="000000"/>
          <w:szCs w:val="18"/>
          <w:lang w:eastAsia="en-GB"/>
        </w:rPr>
      </w:pPr>
      <w:r w:rsidRPr="00E50242">
        <w:rPr>
          <w:rFonts w:eastAsia="Times New Roman" w:cs="Times New Roman"/>
          <w:color w:val="000000"/>
          <w:szCs w:val="18"/>
          <w:lang w:eastAsia="en-GB"/>
        </w:rPr>
        <w:t>ii)</w:t>
      </w:r>
      <w:r w:rsidRPr="00E50242">
        <w:rPr>
          <w:rFonts w:eastAsia="Times New Roman" w:cs="Times New Roman"/>
          <w:color w:val="000000"/>
          <w:szCs w:val="18"/>
          <w:lang w:eastAsia="en-GB"/>
        </w:rPr>
        <w:tab/>
        <w:t>los hechos comunicados de conformidad con los procedimientos internos apropiados a las autoridades del Miembro importador.</w:t>
      </w:r>
    </w:p>
    <w:p w14:paraId="6D8F4830" w14:textId="77777777"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17.6</w:t>
      </w:r>
      <w:r w:rsidRPr="00E50242">
        <w:rPr>
          <w:rFonts w:eastAsia="Times New Roman" w:cs="Times New Roman"/>
          <w:color w:val="000000"/>
          <w:szCs w:val="18"/>
          <w:lang w:eastAsia="en-GB"/>
        </w:rPr>
        <w:tab/>
        <w:t>El grupo especial, en el examen del asunto al que se hace referencia en el párrafo 5:</w:t>
      </w:r>
    </w:p>
    <w:p w14:paraId="75D3410C" w14:textId="103D0519" w:rsidR="00E50242" w:rsidRPr="001A6A7F" w:rsidRDefault="00E50242" w:rsidP="00492E41">
      <w:pPr>
        <w:spacing w:after="240"/>
        <w:ind w:left="1418" w:hanging="851"/>
        <w:rPr>
          <w:rFonts w:eastAsia="Times New Roman" w:cs="Times New Roman"/>
          <w:color w:val="000000"/>
          <w:szCs w:val="18"/>
          <w:lang w:eastAsia="en-GB"/>
        </w:rPr>
      </w:pPr>
      <w:r w:rsidRPr="00E50242">
        <w:rPr>
          <w:rFonts w:eastAsia="Times New Roman" w:cs="Times New Roman"/>
          <w:color w:val="000000"/>
          <w:szCs w:val="18"/>
          <w:lang w:eastAsia="en-GB"/>
        </w:rPr>
        <w:t>i)</w:t>
      </w:r>
      <w:r w:rsidRPr="00E50242">
        <w:rPr>
          <w:rFonts w:eastAsia="Times New Roman" w:cs="Times New Roman"/>
          <w:color w:val="000000"/>
          <w:szCs w:val="18"/>
          <w:lang w:eastAsia="en-GB"/>
        </w:rPr>
        <w:tab/>
        <w:t>al evaluar los elementos de hecho del asunto, determinará si las autoridades han establecido adecuadamente los hechos y si han realizado una evaluación imparcial y objetiva de ellos.</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Si se han establecido adecuadamente los hechos y se ha realizado una evaluación imparcial y objetiva, no se invalidará la evaluación, aun en el caso de que el grupo especial haya llegado a una conclusión distinta;</w:t>
      </w:r>
    </w:p>
    <w:p w14:paraId="193E3B4D" w14:textId="4154BCC6" w:rsidR="00E50242" w:rsidRPr="001A6A7F" w:rsidRDefault="00E50242" w:rsidP="00492E41">
      <w:pPr>
        <w:spacing w:after="240"/>
        <w:ind w:left="1418" w:hanging="851"/>
        <w:rPr>
          <w:rFonts w:eastAsia="Times New Roman" w:cs="Times New Roman"/>
          <w:color w:val="000000"/>
          <w:szCs w:val="18"/>
          <w:lang w:eastAsia="en-GB"/>
        </w:rPr>
      </w:pPr>
      <w:r w:rsidRPr="00E50242">
        <w:rPr>
          <w:rFonts w:eastAsia="Times New Roman" w:cs="Times New Roman"/>
          <w:color w:val="000000"/>
          <w:szCs w:val="18"/>
          <w:lang w:eastAsia="en-GB"/>
        </w:rPr>
        <w:t>ii)</w:t>
      </w:r>
      <w:r w:rsidRPr="00E50242">
        <w:rPr>
          <w:rFonts w:eastAsia="Times New Roman" w:cs="Times New Roman"/>
          <w:color w:val="000000"/>
          <w:szCs w:val="18"/>
          <w:lang w:eastAsia="en-GB"/>
        </w:rPr>
        <w:tab/>
        <w:t>interpretará las disposiciones pertinentes del Acuerdo de conformidad con las reglas consuetudinarias de interpretación del derecho internacional público.</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 xml:space="preserve">Si el grupo especial llega a la conclusión de que una disposición pertinente del Acuerdo se presta a varias interpretaciones admisibles, declarará que la medida adoptada por las </w:t>
      </w:r>
      <w:r w:rsidRPr="00E50242">
        <w:rPr>
          <w:rFonts w:eastAsia="Times New Roman" w:cs="Times New Roman"/>
          <w:color w:val="000000"/>
          <w:szCs w:val="18"/>
          <w:lang w:eastAsia="en-GB"/>
        </w:rPr>
        <w:lastRenderedPageBreak/>
        <w:t>autoridades está en conformidad con el Acuerdo si se basa en alguna de esas interpretaciones admisibles.</w:t>
      </w:r>
    </w:p>
    <w:p w14:paraId="58E075D9" w14:textId="7BE17076"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17.7</w:t>
      </w:r>
      <w:r w:rsidRPr="00E50242">
        <w:rPr>
          <w:rFonts w:eastAsia="Times New Roman" w:cs="Times New Roman"/>
          <w:color w:val="000000"/>
          <w:szCs w:val="18"/>
          <w:lang w:eastAsia="en-GB"/>
        </w:rPr>
        <w:tab/>
        <w:t>La información confidencial que se proporcione al grupo especial no será revelada sin la autorización formal de la persona, organismo o autoridad que la haya facilitado.</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Cuando se solicite dicha información del grupo especial y éste no sea autorizado a comunicarla, se suministrará un resumen no confidencial de la misma, autorizado por la persona, organismo o autoridad que la haya facilitado.</w:t>
      </w:r>
    </w:p>
    <w:p w14:paraId="00ED72C1" w14:textId="77777777" w:rsidR="00E50242" w:rsidRPr="006C4965" w:rsidRDefault="00E50242" w:rsidP="001454FC">
      <w:pPr>
        <w:spacing w:after="240"/>
        <w:jc w:val="center"/>
        <w:rPr>
          <w:rFonts w:eastAsia="Times New Roman" w:cs="Times New Roman"/>
          <w:color w:val="000000"/>
          <w:szCs w:val="18"/>
          <w:lang w:eastAsia="en-GB"/>
        </w:rPr>
      </w:pPr>
      <w:r w:rsidRPr="006C4965">
        <w:rPr>
          <w:rFonts w:eastAsia="Times New Roman" w:cs="Times New Roman"/>
          <w:color w:val="000000"/>
          <w:szCs w:val="18"/>
          <w:lang w:eastAsia="en-GB"/>
        </w:rPr>
        <w:t>PARTE III</w:t>
      </w:r>
    </w:p>
    <w:p w14:paraId="3C7D5724" w14:textId="77777777" w:rsidR="00E50242" w:rsidRPr="006C4965" w:rsidRDefault="00E50242" w:rsidP="00E50242">
      <w:pPr>
        <w:spacing w:after="240"/>
        <w:jc w:val="center"/>
        <w:rPr>
          <w:rFonts w:eastAsia="Times New Roman" w:cs="Times New Roman"/>
          <w:color w:val="000000"/>
          <w:szCs w:val="18"/>
          <w:lang w:eastAsia="en-GB"/>
        </w:rPr>
      </w:pPr>
      <w:r w:rsidRPr="006C4965">
        <w:rPr>
          <w:rFonts w:eastAsia="Times New Roman" w:cs="Times New Roman"/>
          <w:i/>
          <w:color w:val="000000"/>
          <w:szCs w:val="18"/>
          <w:lang w:eastAsia="en-GB"/>
        </w:rPr>
        <w:t>Artículo 18</w:t>
      </w:r>
    </w:p>
    <w:p w14:paraId="16769046" w14:textId="77777777" w:rsidR="00E50242" w:rsidRPr="001A6A7F" w:rsidRDefault="00E50242" w:rsidP="00E50242">
      <w:pPr>
        <w:spacing w:after="240"/>
        <w:jc w:val="center"/>
        <w:rPr>
          <w:rFonts w:eastAsia="Times New Roman" w:cs="Times New Roman"/>
          <w:color w:val="000000"/>
          <w:szCs w:val="18"/>
          <w:lang w:eastAsia="en-GB"/>
        </w:rPr>
      </w:pPr>
      <w:r w:rsidRPr="00E50242">
        <w:rPr>
          <w:rFonts w:eastAsia="Times New Roman" w:cs="Times New Roman"/>
          <w:i/>
          <w:color w:val="000000"/>
          <w:szCs w:val="18"/>
          <w:lang w:eastAsia="en-GB"/>
        </w:rPr>
        <w:t>Disposiciones finales</w:t>
      </w:r>
    </w:p>
    <w:p w14:paraId="7DDB64B1" w14:textId="77777777"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18.1</w:t>
      </w:r>
      <w:r w:rsidRPr="00E50242">
        <w:rPr>
          <w:rFonts w:eastAsia="Times New Roman" w:cs="Times New Roman"/>
          <w:color w:val="000000"/>
          <w:szCs w:val="18"/>
          <w:lang w:eastAsia="en-GB"/>
        </w:rPr>
        <w:tab/>
        <w:t>No podrá adoptarse ninguna medida específica contra el dumping de las exportaciones de otro Miembro si no es de conformidad con las disposiciones del GATT de 1994, según se interpretan en el presente Acuerdo.</w:t>
      </w:r>
      <w:r w:rsidRPr="00E50242">
        <w:rPr>
          <w:rFonts w:eastAsia="Times New Roman" w:cs="Times New Roman"/>
          <w:color w:val="000000"/>
          <w:szCs w:val="18"/>
          <w:vertAlign w:val="superscript"/>
          <w:lang w:eastAsia="en-GB"/>
        </w:rPr>
        <w:footnoteReference w:id="24"/>
      </w:r>
    </w:p>
    <w:p w14:paraId="3DCE4917" w14:textId="77777777"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18.2</w:t>
      </w:r>
      <w:r w:rsidRPr="00E50242">
        <w:rPr>
          <w:rFonts w:eastAsia="Times New Roman" w:cs="Times New Roman"/>
          <w:color w:val="000000"/>
          <w:szCs w:val="18"/>
          <w:lang w:eastAsia="en-GB"/>
        </w:rPr>
        <w:tab/>
        <w:t>No podrán formularse reservas respecto de ninguna de las disposiciones del presente Acuerdo sin el consentimiento de los demás Miembros.</w:t>
      </w:r>
    </w:p>
    <w:p w14:paraId="26BF4A58" w14:textId="77777777"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18.3</w:t>
      </w:r>
      <w:r w:rsidRPr="00E50242">
        <w:rPr>
          <w:rFonts w:eastAsia="Times New Roman" w:cs="Times New Roman"/>
          <w:color w:val="000000"/>
          <w:szCs w:val="18"/>
          <w:lang w:eastAsia="en-GB"/>
        </w:rPr>
        <w:tab/>
        <w:t>A reserva de lo dispuesto en los apartados 3.1 y 3.2, las disposiciones del presente Acuerdo serán aplicables a las investigaciones y a los exámenes de medidas existentes iniciados como consecuencia de solicitudes que se hayan presentado en la fecha de entrada en vigor del Acuerdo sobre la OMC para el Miembro de que se trate o con posterioridad a esa fecha.</w:t>
      </w:r>
    </w:p>
    <w:p w14:paraId="2AA52E93" w14:textId="29CF94EF" w:rsidR="00E50242" w:rsidRPr="001A6A7F" w:rsidRDefault="00E50242" w:rsidP="006B2143">
      <w:pPr>
        <w:spacing w:after="240"/>
        <w:ind w:left="1418" w:hanging="851"/>
        <w:rPr>
          <w:rFonts w:eastAsia="Times New Roman" w:cs="Times New Roman"/>
          <w:color w:val="000000"/>
          <w:szCs w:val="18"/>
          <w:lang w:eastAsia="en-GB"/>
        </w:rPr>
      </w:pPr>
      <w:r w:rsidRPr="00E50242">
        <w:rPr>
          <w:rFonts w:eastAsia="Times New Roman" w:cs="Times New Roman"/>
          <w:color w:val="000000"/>
          <w:szCs w:val="18"/>
          <w:lang w:eastAsia="en-GB"/>
        </w:rPr>
        <w:t>18.3.1</w:t>
      </w:r>
      <w:r w:rsidRPr="00E50242">
        <w:rPr>
          <w:rFonts w:eastAsia="Times New Roman" w:cs="Times New Roman"/>
          <w:color w:val="000000"/>
          <w:szCs w:val="18"/>
          <w:lang w:eastAsia="en-GB"/>
        </w:rPr>
        <w:tab/>
        <w:t>En lo que respecta al cálculo de los márgenes de dumping en el procedimiento de devolución previsto en el párrafo 3 del artículo 9, se aplicarán las reglas utilizadas en la última determinación o reexamen de la existencia de dumping.</w:t>
      </w:r>
    </w:p>
    <w:p w14:paraId="61F7B7EA" w14:textId="0CD8F8EB" w:rsidR="00E50242" w:rsidRPr="001A6A7F" w:rsidRDefault="00E50242" w:rsidP="005340B0">
      <w:pPr>
        <w:spacing w:after="240"/>
        <w:ind w:left="1418" w:hanging="851"/>
        <w:rPr>
          <w:rFonts w:eastAsia="Times New Roman" w:cs="Times New Roman"/>
          <w:color w:val="000000"/>
          <w:szCs w:val="18"/>
          <w:lang w:eastAsia="en-GB"/>
        </w:rPr>
      </w:pPr>
      <w:r w:rsidRPr="00E50242">
        <w:rPr>
          <w:rFonts w:eastAsia="Times New Roman" w:cs="Times New Roman"/>
          <w:color w:val="000000"/>
          <w:szCs w:val="18"/>
          <w:lang w:eastAsia="en-GB"/>
        </w:rPr>
        <w:t>18.3.2</w:t>
      </w:r>
      <w:r w:rsidRPr="00E50242">
        <w:rPr>
          <w:rFonts w:eastAsia="Times New Roman" w:cs="Times New Roman"/>
          <w:color w:val="000000"/>
          <w:szCs w:val="18"/>
          <w:lang w:eastAsia="en-GB"/>
        </w:rPr>
        <w:tab/>
        <w:t>A los efectos del párrafo 3 del artículo 11, se considerará que las medidas antidumping existentes se han establecido en una fecha no posterior a la fecha de entrada en vigor del Acuerdo sobre la OMC para el Miembro de que se trate, salvo en caso de que la legislación nacional de ese Miembro en vigor en esa fecha ya contuviese una cláusula del tipo previsto en el párrafo mencionado.</w:t>
      </w:r>
    </w:p>
    <w:p w14:paraId="6FDF5C82" w14:textId="77777777"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18.4</w:t>
      </w:r>
      <w:r w:rsidRPr="00E50242">
        <w:rPr>
          <w:rFonts w:eastAsia="Times New Roman" w:cs="Times New Roman"/>
          <w:color w:val="000000"/>
          <w:szCs w:val="18"/>
          <w:lang w:eastAsia="en-GB"/>
        </w:rPr>
        <w:tab/>
        <w:t>Cada Miembro adoptará todas las medidas necesarias, de carácter general o particular, para asegurarse de que, a más tardar en la fecha en que el Acuerdo sobre la OMC entre en vigor para él, sus leyes, reglamentos y procedimientos administrativos estén en conformidad con las disposiciones del presente Acuerdo según se apliquen al Miembro de que se trate.</w:t>
      </w:r>
    </w:p>
    <w:p w14:paraId="28A84205" w14:textId="77777777"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18.5</w:t>
      </w:r>
      <w:r w:rsidRPr="00E50242">
        <w:rPr>
          <w:rFonts w:eastAsia="Times New Roman" w:cs="Times New Roman"/>
          <w:color w:val="000000"/>
          <w:szCs w:val="18"/>
          <w:lang w:eastAsia="en-GB"/>
        </w:rPr>
        <w:tab/>
        <w:t>Cada Miembro informará al Comité de toda modificación de sus leyes y reglamentos relacionados con el presente Acuerdo y de la aplicación de dichas leyes y reglamentos.</w:t>
      </w:r>
    </w:p>
    <w:p w14:paraId="56158C0A" w14:textId="44760304"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18.6</w:t>
      </w:r>
      <w:r w:rsidRPr="00E50242">
        <w:rPr>
          <w:rFonts w:eastAsia="Times New Roman" w:cs="Times New Roman"/>
          <w:color w:val="000000"/>
          <w:szCs w:val="18"/>
          <w:lang w:eastAsia="en-GB"/>
        </w:rPr>
        <w:tab/>
        <w:t>El Comité examinará anualmente la aplicación y funcionamiento del presente Acuerdo habida cuenta de sus objetivos.</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El Comité informará anualmente al Consejo del Comercio de Mercancías sobre las novedades registradas durante los períodos que abarquen los exámenes.</w:t>
      </w:r>
    </w:p>
    <w:p w14:paraId="054503F3" w14:textId="77777777"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18.7</w:t>
      </w:r>
      <w:r w:rsidRPr="00E50242">
        <w:rPr>
          <w:rFonts w:eastAsia="Times New Roman" w:cs="Times New Roman"/>
          <w:color w:val="000000"/>
          <w:szCs w:val="18"/>
          <w:lang w:eastAsia="en-GB"/>
        </w:rPr>
        <w:tab/>
        <w:t>Los anexos del presente Acuerdo forman parte integrante del mismo.</w:t>
      </w:r>
    </w:p>
    <w:p w14:paraId="3F037D53" w14:textId="77777777" w:rsidR="001454FC" w:rsidRDefault="001454FC">
      <w:pPr>
        <w:spacing w:after="160" w:line="259" w:lineRule="auto"/>
        <w:jc w:val="left"/>
        <w:rPr>
          <w:rFonts w:eastAsia="Times New Roman" w:cs="Times New Roman"/>
          <w:color w:val="000000"/>
          <w:szCs w:val="18"/>
          <w:lang w:eastAsia="en-GB"/>
        </w:rPr>
      </w:pPr>
      <w:r>
        <w:rPr>
          <w:rFonts w:eastAsia="Times New Roman" w:cs="Times New Roman"/>
          <w:color w:val="000000"/>
          <w:szCs w:val="18"/>
          <w:lang w:eastAsia="en-GB"/>
        </w:rPr>
        <w:br w:type="page"/>
      </w:r>
    </w:p>
    <w:p w14:paraId="1A76391F" w14:textId="7957F94A" w:rsidR="00E50242" w:rsidRPr="006C4965" w:rsidRDefault="00E50242" w:rsidP="001454FC">
      <w:pPr>
        <w:spacing w:after="240"/>
        <w:jc w:val="center"/>
        <w:rPr>
          <w:rFonts w:eastAsia="Times New Roman" w:cs="Times New Roman"/>
          <w:color w:val="000000"/>
          <w:szCs w:val="18"/>
          <w:lang w:eastAsia="en-GB"/>
        </w:rPr>
      </w:pPr>
      <w:r w:rsidRPr="006C4965">
        <w:rPr>
          <w:rFonts w:eastAsia="Times New Roman" w:cs="Times New Roman"/>
          <w:color w:val="000000"/>
          <w:szCs w:val="18"/>
          <w:lang w:eastAsia="en-GB"/>
        </w:rPr>
        <w:lastRenderedPageBreak/>
        <w:t>ANEXO I</w:t>
      </w:r>
    </w:p>
    <w:p w14:paraId="1DFA08F5" w14:textId="0D63F05D" w:rsidR="00E50242" w:rsidRPr="001A6A7F" w:rsidRDefault="00E50242" w:rsidP="00904883">
      <w:pPr>
        <w:spacing w:after="480"/>
        <w:jc w:val="center"/>
        <w:rPr>
          <w:rFonts w:eastAsia="Times New Roman" w:cs="Times New Roman"/>
          <w:color w:val="000000"/>
          <w:szCs w:val="18"/>
          <w:lang w:eastAsia="en-GB"/>
        </w:rPr>
      </w:pPr>
      <w:r w:rsidRPr="00E50242">
        <w:rPr>
          <w:rFonts w:eastAsia="Times New Roman" w:cs="Times New Roman"/>
          <w:color w:val="000000"/>
          <w:szCs w:val="18"/>
          <w:lang w:eastAsia="en-GB"/>
        </w:rPr>
        <w:t>PROCEDIMIENTO QUE DEBE SEGUIRSE EN LAS</w:t>
      </w:r>
      <w:r w:rsidR="00904883">
        <w:rPr>
          <w:rFonts w:eastAsia="Times New Roman" w:cs="Times New Roman"/>
          <w:color w:val="000000"/>
          <w:szCs w:val="18"/>
          <w:lang w:eastAsia="en-GB"/>
        </w:rPr>
        <w:br/>
      </w:r>
      <w:r w:rsidRPr="00E50242">
        <w:rPr>
          <w:rFonts w:eastAsia="Times New Roman" w:cs="Times New Roman"/>
          <w:color w:val="000000"/>
          <w:szCs w:val="18"/>
          <w:lang w:eastAsia="en-GB"/>
        </w:rPr>
        <w:t xml:space="preserve">INVESTIGACIONES </w:t>
      </w:r>
      <w:r w:rsidRPr="00E50242">
        <w:rPr>
          <w:rFonts w:eastAsia="Times New Roman" w:cs="Times New Roman"/>
          <w:i/>
          <w:color w:val="000000"/>
          <w:szCs w:val="18"/>
          <w:lang w:eastAsia="en-GB"/>
        </w:rPr>
        <w:t>IN SITU</w:t>
      </w:r>
      <w:r w:rsidRPr="00904883">
        <w:t xml:space="preserve"> </w:t>
      </w:r>
      <w:r w:rsidRPr="00E50242">
        <w:rPr>
          <w:rFonts w:eastAsia="Times New Roman" w:cs="Times New Roman"/>
          <w:color w:val="000000"/>
          <w:szCs w:val="18"/>
          <w:lang w:eastAsia="en-GB"/>
        </w:rPr>
        <w:t>REALIZADAS</w:t>
      </w:r>
      <w:r w:rsidR="00904883">
        <w:rPr>
          <w:rFonts w:eastAsia="Times New Roman" w:cs="Times New Roman"/>
          <w:color w:val="000000"/>
          <w:szCs w:val="18"/>
          <w:lang w:eastAsia="en-GB"/>
        </w:rPr>
        <w:br/>
      </w:r>
      <w:r w:rsidRPr="00E50242">
        <w:rPr>
          <w:rFonts w:eastAsia="Times New Roman" w:cs="Times New Roman"/>
          <w:color w:val="000000"/>
          <w:szCs w:val="18"/>
          <w:lang w:eastAsia="en-GB"/>
        </w:rPr>
        <w:t>CONFORME AL PÁRRAFO 7 DEL ARTÍCULO 6</w:t>
      </w:r>
    </w:p>
    <w:p w14:paraId="6DCD0A69" w14:textId="7F18EEEA"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1.</w:t>
      </w:r>
      <w:r w:rsidRPr="00E50242">
        <w:rPr>
          <w:rFonts w:eastAsia="Times New Roman" w:cs="Times New Roman"/>
          <w:color w:val="000000"/>
          <w:szCs w:val="18"/>
          <w:lang w:eastAsia="en-GB"/>
        </w:rPr>
        <w:tab/>
        <w:t xml:space="preserve">Al iniciarse una investigación, se deberá informar a las autoridades del Miembro exportador y a las empresas de las que se sepa están interesadas de la intención de realizar investigaciones </w:t>
      </w:r>
      <w:r w:rsidRPr="00E50242">
        <w:rPr>
          <w:rFonts w:eastAsia="Times New Roman" w:cs="Times New Roman"/>
          <w:i/>
          <w:color w:val="000000"/>
          <w:szCs w:val="18"/>
          <w:lang w:eastAsia="en-GB"/>
        </w:rPr>
        <w:t>in</w:t>
      </w:r>
      <w:r w:rsidR="00904883">
        <w:rPr>
          <w:rFonts w:eastAsia="Times New Roman" w:cs="Times New Roman"/>
          <w:i/>
          <w:color w:val="000000"/>
          <w:szCs w:val="18"/>
          <w:lang w:eastAsia="en-GB"/>
        </w:rPr>
        <w:t> </w:t>
      </w:r>
      <w:r w:rsidRPr="00E50242">
        <w:rPr>
          <w:rFonts w:eastAsia="Times New Roman" w:cs="Times New Roman"/>
          <w:i/>
          <w:color w:val="000000"/>
          <w:szCs w:val="18"/>
          <w:lang w:eastAsia="en-GB"/>
        </w:rPr>
        <w:t>situ</w:t>
      </w:r>
      <w:r w:rsidRPr="00E50242">
        <w:rPr>
          <w:rFonts w:eastAsia="Times New Roman" w:cs="Times New Roman"/>
          <w:color w:val="000000"/>
          <w:szCs w:val="18"/>
          <w:lang w:eastAsia="en-GB"/>
        </w:rPr>
        <w:t>.</w:t>
      </w:r>
    </w:p>
    <w:p w14:paraId="41AF5216" w14:textId="0C67CB5C"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2.</w:t>
      </w:r>
      <w:r w:rsidRPr="00E50242">
        <w:rPr>
          <w:rFonts w:eastAsia="Times New Roman" w:cs="Times New Roman"/>
          <w:color w:val="000000"/>
          <w:szCs w:val="18"/>
          <w:lang w:eastAsia="en-GB"/>
        </w:rPr>
        <w:tab/>
        <w:t>Cuando, en circunstancias excepcionales, se prevea incluir en el equipo investigador a expertos no gubernamentales, se deberá informar de ello a las empresas y autoridades del Miembro exportador.</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Esos expertos no gubernamentales deberán ser pasibles de sanciones eficaces si incumplen las prescripciones relacionadas con el carácter confidencial de la información.</w:t>
      </w:r>
    </w:p>
    <w:p w14:paraId="058012A4" w14:textId="77777777"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3.</w:t>
      </w:r>
      <w:r w:rsidRPr="00E50242">
        <w:rPr>
          <w:rFonts w:eastAsia="Times New Roman" w:cs="Times New Roman"/>
          <w:color w:val="000000"/>
          <w:szCs w:val="18"/>
          <w:lang w:eastAsia="en-GB"/>
        </w:rPr>
        <w:tab/>
        <w:t>Se deberá considerar práctica normal la obtención del consentimiento expreso de las empresas interesadas del Miembro exportador antes de programar definitivamente la visita.</w:t>
      </w:r>
    </w:p>
    <w:p w14:paraId="4DCACE72" w14:textId="77777777"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4.</w:t>
      </w:r>
      <w:r w:rsidRPr="00E50242">
        <w:rPr>
          <w:rFonts w:eastAsia="Times New Roman" w:cs="Times New Roman"/>
          <w:color w:val="000000"/>
          <w:szCs w:val="18"/>
          <w:lang w:eastAsia="en-GB"/>
        </w:rPr>
        <w:tab/>
        <w:t>En cuanto se haya obtenido el consentimiento de las empresas interesadas, la autoridad investigadora deberá comunicar a las autoridades del Miembro exportador los nombres y direcciones de las empresas que han de visitarse y las fechas convenidas.</w:t>
      </w:r>
    </w:p>
    <w:p w14:paraId="6837CF78" w14:textId="77777777"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5.</w:t>
      </w:r>
      <w:r w:rsidRPr="00E50242">
        <w:rPr>
          <w:rFonts w:eastAsia="Times New Roman" w:cs="Times New Roman"/>
          <w:color w:val="000000"/>
          <w:szCs w:val="18"/>
          <w:lang w:eastAsia="en-GB"/>
        </w:rPr>
        <w:tab/>
        <w:t>Se deberá advertir de la visita a las empresas de que se trate con suficiente antelación.</w:t>
      </w:r>
    </w:p>
    <w:p w14:paraId="0775983C" w14:textId="37B5DFA8"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6.</w:t>
      </w:r>
      <w:r w:rsidRPr="00E50242">
        <w:rPr>
          <w:rFonts w:eastAsia="Times New Roman" w:cs="Times New Roman"/>
          <w:color w:val="000000"/>
          <w:szCs w:val="18"/>
          <w:lang w:eastAsia="en-GB"/>
        </w:rPr>
        <w:tab/>
        <w:t>Únicamente deberán hacerse visitas para explicar el cuestionario cuando lo solicite una empresa exportadora.</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Tal visita sólo podrá realizarse si a) las autoridades del Miembro importador lo notifican a los representantes del Miembro de que se trate y b) éstos no se oponen a la visita.</w:t>
      </w:r>
    </w:p>
    <w:p w14:paraId="3D104805" w14:textId="7EE49D9D"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7.</w:t>
      </w:r>
      <w:r w:rsidRPr="00E50242">
        <w:rPr>
          <w:rFonts w:eastAsia="Times New Roman" w:cs="Times New Roman"/>
          <w:color w:val="000000"/>
          <w:szCs w:val="18"/>
          <w:lang w:eastAsia="en-GB"/>
        </w:rPr>
        <w:tab/>
        <w:t xml:space="preserve">Como la finalidad principal de la investigación </w:t>
      </w:r>
      <w:r w:rsidRPr="00E50242">
        <w:rPr>
          <w:rFonts w:eastAsia="Times New Roman" w:cs="Times New Roman"/>
          <w:i/>
          <w:color w:val="000000"/>
          <w:szCs w:val="18"/>
          <w:lang w:eastAsia="en-GB"/>
        </w:rPr>
        <w:t>in situ</w:t>
      </w:r>
      <w:r w:rsidRPr="00271499">
        <w:t xml:space="preserve"> </w:t>
      </w:r>
      <w:r w:rsidRPr="00E50242">
        <w:rPr>
          <w:rFonts w:eastAsia="Times New Roman" w:cs="Times New Roman"/>
          <w:color w:val="000000"/>
          <w:szCs w:val="18"/>
          <w:lang w:eastAsia="en-GB"/>
        </w:rPr>
        <w:t>es verificar la información recibida u obtener más detalles, esa investigación se deberá realizar después de haberse recibido la respuesta al cuestionario, a menos que la empresa esté de acuerdo en lo contrario y la autoridad investigadora informe de la visita prevista al gobierno del Miembro exportador y éste no se oponga a ella;</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además, se deberá considerar práctica normal indicar a las empresas interesadas, con anterioridad a la visita, la naturaleza general de la información que se trata de verificar y qué otra información es preciso suministrar, si bien esto no habrá de impedir que durante la visita, y a la luz de la información obtenida, se soliciten más detalles.</w:t>
      </w:r>
    </w:p>
    <w:p w14:paraId="200B3ABE" w14:textId="77777777"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8.</w:t>
      </w:r>
      <w:r w:rsidRPr="00E50242">
        <w:rPr>
          <w:rFonts w:eastAsia="Times New Roman" w:cs="Times New Roman"/>
          <w:color w:val="000000"/>
          <w:szCs w:val="18"/>
          <w:lang w:eastAsia="en-GB"/>
        </w:rPr>
        <w:tab/>
        <w:t xml:space="preserve">Siempre que sea posible, las respuestas a las peticiones de información o a las preguntas que hagan las autoridades o las empresas de los Miembros exportadores y que sean esenciales para el buen resultado de la investigación </w:t>
      </w:r>
      <w:r w:rsidRPr="00E50242">
        <w:rPr>
          <w:rFonts w:eastAsia="Times New Roman" w:cs="Times New Roman"/>
          <w:i/>
          <w:color w:val="000000"/>
          <w:szCs w:val="18"/>
          <w:lang w:eastAsia="en-GB"/>
        </w:rPr>
        <w:t>in situ</w:t>
      </w:r>
      <w:r w:rsidRPr="00271499">
        <w:t xml:space="preserve"> </w:t>
      </w:r>
      <w:r w:rsidRPr="00E50242">
        <w:rPr>
          <w:rFonts w:eastAsia="Times New Roman" w:cs="Times New Roman"/>
          <w:color w:val="000000"/>
          <w:szCs w:val="18"/>
          <w:lang w:eastAsia="en-GB"/>
        </w:rPr>
        <w:t>deberán darse antes de que se efectúe la visita.</w:t>
      </w:r>
    </w:p>
    <w:p w14:paraId="00837726" w14:textId="77777777" w:rsidR="001454FC" w:rsidRDefault="001454FC">
      <w:pPr>
        <w:spacing w:after="160" w:line="259" w:lineRule="auto"/>
        <w:jc w:val="left"/>
        <w:rPr>
          <w:rFonts w:eastAsia="Times New Roman" w:cs="Times New Roman"/>
          <w:color w:val="000000"/>
          <w:szCs w:val="18"/>
          <w:lang w:eastAsia="en-GB"/>
        </w:rPr>
      </w:pPr>
      <w:r>
        <w:rPr>
          <w:rFonts w:eastAsia="Times New Roman" w:cs="Times New Roman"/>
          <w:color w:val="000000"/>
          <w:szCs w:val="18"/>
          <w:lang w:eastAsia="en-GB"/>
        </w:rPr>
        <w:br w:type="page"/>
      </w:r>
    </w:p>
    <w:p w14:paraId="52AC1337" w14:textId="3615E1C8" w:rsidR="00E50242" w:rsidRPr="006C4965" w:rsidRDefault="00E50242" w:rsidP="001454FC">
      <w:pPr>
        <w:spacing w:after="240"/>
        <w:jc w:val="center"/>
        <w:rPr>
          <w:rFonts w:eastAsia="Times New Roman" w:cs="Times New Roman"/>
          <w:color w:val="000000"/>
          <w:szCs w:val="18"/>
          <w:lang w:eastAsia="en-GB"/>
        </w:rPr>
      </w:pPr>
      <w:r w:rsidRPr="006C4965">
        <w:rPr>
          <w:rFonts w:eastAsia="Times New Roman" w:cs="Times New Roman"/>
          <w:color w:val="000000"/>
          <w:szCs w:val="18"/>
          <w:lang w:eastAsia="en-GB"/>
        </w:rPr>
        <w:lastRenderedPageBreak/>
        <w:t>ANEXO II</w:t>
      </w:r>
    </w:p>
    <w:p w14:paraId="3732E3FE" w14:textId="418F5574" w:rsidR="00E50242" w:rsidRPr="001A6A7F" w:rsidRDefault="00E50242" w:rsidP="00271499">
      <w:pPr>
        <w:spacing w:after="480"/>
        <w:jc w:val="center"/>
        <w:rPr>
          <w:rFonts w:eastAsia="Times New Roman" w:cs="Times New Roman"/>
          <w:color w:val="000000"/>
          <w:szCs w:val="18"/>
          <w:lang w:eastAsia="en-GB"/>
        </w:rPr>
      </w:pPr>
      <w:r w:rsidRPr="00E50242">
        <w:rPr>
          <w:rFonts w:eastAsia="Times New Roman" w:cs="Times New Roman"/>
          <w:color w:val="000000"/>
          <w:szCs w:val="18"/>
          <w:lang w:eastAsia="en-GB"/>
        </w:rPr>
        <w:t>MEJOR INFORMACIÓN DISPONIBLE EN EL SENTIDO DEL</w:t>
      </w:r>
      <w:r w:rsidR="00271499">
        <w:rPr>
          <w:rFonts w:eastAsia="Times New Roman" w:cs="Times New Roman"/>
          <w:color w:val="000000"/>
          <w:szCs w:val="18"/>
          <w:lang w:eastAsia="en-GB"/>
        </w:rPr>
        <w:br/>
      </w:r>
      <w:r w:rsidRPr="00E50242">
        <w:rPr>
          <w:rFonts w:eastAsia="Times New Roman" w:cs="Times New Roman"/>
          <w:color w:val="000000"/>
          <w:szCs w:val="18"/>
          <w:lang w:eastAsia="en-GB"/>
        </w:rPr>
        <w:t>PÁRRAFO 8 DEL ARTÍCULO 6</w:t>
      </w:r>
    </w:p>
    <w:p w14:paraId="4DC3CAA4" w14:textId="70E6F93B"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1.</w:t>
      </w:r>
      <w:r w:rsidRPr="00E50242">
        <w:rPr>
          <w:rFonts w:eastAsia="Times New Roman" w:cs="Times New Roman"/>
          <w:color w:val="000000"/>
          <w:szCs w:val="18"/>
          <w:lang w:eastAsia="en-GB"/>
        </w:rPr>
        <w:tab/>
        <w:t>Lo antes posible después de haber iniciado la investigación, la autoridad investigadora deberá especificar en detalle la información requerida de cualquier parte directamente interesada y la manera en que ésta deba estructurarla en su respuesta.</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Deberá además asegurarse de que la parte sabe que, si no facilita esa información en un plazo prudencial, la autoridad investigadora quedará en libertad para basar sus decisiones en los hechos de que tenga conocimiento, incluidos los que figuren en la solicitud de iniciación de una investigación presentada por la rama de producción nacional.</w:t>
      </w:r>
    </w:p>
    <w:p w14:paraId="592BF19B" w14:textId="3B7EC807"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2.</w:t>
      </w:r>
      <w:r w:rsidRPr="00E50242">
        <w:rPr>
          <w:rFonts w:eastAsia="Times New Roman" w:cs="Times New Roman"/>
          <w:color w:val="000000"/>
          <w:szCs w:val="18"/>
          <w:lang w:eastAsia="en-GB"/>
        </w:rPr>
        <w:tab/>
        <w:t>Las autoridades podrán pedir además que una parte interesada facilite su respuesta en un medio determinado (por ejemplo, en cinta de computadora) o en un lenguaje informático determinado.</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Cuando hagan esa petición, las autoridades deberán tener en cuenta si la parte interesada tiene razonablemente la posibilidad de responder en el medio o en el lenguaje informático preferidos y no deberán pedir a la parte que, para dar su respuesta, utilice un sistema de computadora distinto del usado por ella.</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Las autoridades no deberán mantener una petición de respuesta informatizada si la parte interesada no lleva una contabilidad informatizada y si la presentación de la respuesta en la forma pedida fuese a dar lugar a una carga adicional fuera de razón para la parte interesada, como puede ser un aumento desproporcionado de los costos y molestias.</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Las autoridades no deberán mantener una petición de respuesta en un determinado medio o lenguaje informático si la parte interesada no lleva una contabilidad informatizada en ese medio o lenguaje informático y si la presentación de la respuesta en la forma pedida fuese a dar lugar a una carga adicional fuera de razón para la parte interesada, como puede ser un aumento desproporcionado de los costos y molestias.</w:t>
      </w:r>
    </w:p>
    <w:p w14:paraId="1A1C4C3B" w14:textId="08EC26DA"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3.</w:t>
      </w:r>
      <w:r w:rsidRPr="00E50242">
        <w:rPr>
          <w:rFonts w:eastAsia="Times New Roman" w:cs="Times New Roman"/>
          <w:color w:val="000000"/>
          <w:szCs w:val="18"/>
          <w:lang w:eastAsia="en-GB"/>
        </w:rPr>
        <w:tab/>
        <w:t>Al formular las determinaciones deberá tenerse en cuenta toda la información verificable, presentada adecuadamente de modo que pueda utilizarse en la investigación sin dificultades excesivas, facilitada a tiempo y, cuando proceda, en un medio o lenguaje informático que hayan solicitado las autoridades.</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 xml:space="preserve">Cuando una parte no responda en el medio o lenguaje informático preferidos pero las autoridades estimen que concurren las circunstancias a que hace referencia el párrafo 2 </w:t>
      </w:r>
      <w:r w:rsidRPr="00E50242">
        <w:rPr>
          <w:rFonts w:eastAsia="Times New Roman" w:cs="Times New Roman"/>
          <w:i/>
          <w:color w:val="000000"/>
          <w:szCs w:val="18"/>
          <w:lang w:eastAsia="en-GB"/>
        </w:rPr>
        <w:t>supra</w:t>
      </w:r>
      <w:r w:rsidRPr="00E50242">
        <w:rPr>
          <w:rFonts w:eastAsia="Times New Roman" w:cs="Times New Roman"/>
          <w:color w:val="000000"/>
          <w:szCs w:val="18"/>
          <w:lang w:eastAsia="en-GB"/>
        </w:rPr>
        <w:t>, no deberá considerarse que el hecho de que no se haya respondido en el medio o lenguaje informático preferidos entorpece significativamente la investigación.</w:t>
      </w:r>
    </w:p>
    <w:p w14:paraId="4036A343" w14:textId="77777777"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4.</w:t>
      </w:r>
      <w:r w:rsidRPr="00E50242">
        <w:rPr>
          <w:rFonts w:eastAsia="Times New Roman" w:cs="Times New Roman"/>
          <w:color w:val="000000"/>
          <w:szCs w:val="18"/>
          <w:lang w:eastAsia="en-GB"/>
        </w:rPr>
        <w:tab/>
        <w:t>Cuando las autoridades no puedan procesar la información si ésta viene facilitada en un medio determinado (por ejemplo, en cinta de computadora), la información deberá facilitarse en forma de material escrito o en cualquier otra forma aceptable por las mismas.</w:t>
      </w:r>
    </w:p>
    <w:p w14:paraId="33DEA363" w14:textId="77777777"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5.</w:t>
      </w:r>
      <w:r w:rsidRPr="00E50242">
        <w:rPr>
          <w:rFonts w:eastAsia="Times New Roman" w:cs="Times New Roman"/>
          <w:color w:val="000000"/>
          <w:szCs w:val="18"/>
          <w:lang w:eastAsia="en-GB"/>
        </w:rPr>
        <w:tab/>
        <w:t>Aunque la información que se facilite no sea óptima en todos los aspectos, ese hecho no será justificación para que las autoridades la descarten, siempre que la parte interesada haya procedido en toda la medida de sus posibilidades.</w:t>
      </w:r>
    </w:p>
    <w:p w14:paraId="44D50475" w14:textId="6C0A5D43" w:rsidR="00E50242" w:rsidRPr="001A6A7F" w:rsidRDefault="00E50242" w:rsidP="00E50242">
      <w:pPr>
        <w:spacing w:after="240"/>
        <w:rPr>
          <w:rFonts w:eastAsia="Times New Roman" w:cs="Times New Roman"/>
          <w:color w:val="000000"/>
          <w:szCs w:val="18"/>
          <w:lang w:eastAsia="en-GB"/>
        </w:rPr>
      </w:pPr>
      <w:r w:rsidRPr="00E50242">
        <w:rPr>
          <w:rFonts w:eastAsia="Times New Roman" w:cs="Times New Roman"/>
          <w:color w:val="000000"/>
          <w:szCs w:val="18"/>
          <w:lang w:eastAsia="en-GB"/>
        </w:rPr>
        <w:t>6.</w:t>
      </w:r>
      <w:r w:rsidRPr="00E50242">
        <w:rPr>
          <w:rFonts w:eastAsia="Times New Roman" w:cs="Times New Roman"/>
          <w:color w:val="000000"/>
          <w:szCs w:val="18"/>
          <w:lang w:eastAsia="en-GB"/>
        </w:rPr>
        <w:tab/>
        <w:t>Si no se aceptan pruebas o informaciones, la parte que las haya facilitado deberá ser informada inmediatamente de las razones que hayan inducido a ello y deberá tener oportunidad de presentar nuevas explicaciones dentro de un plazo prudencial, teniendo debidamente en cuenta los plazos fijados para la investigación.</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Si las autoridades consideran que las explicaciones no son satisfactorias, en cualesquiera determinaciones que se publiquen se expondrán las razones por las que se hayan rechazado las pruebas o las informaciones.</w:t>
      </w:r>
    </w:p>
    <w:p w14:paraId="560664E1" w14:textId="0FF9571E" w:rsidR="00503D18" w:rsidRPr="006C4965" w:rsidRDefault="00E50242" w:rsidP="008B04C5">
      <w:pPr>
        <w:rPr>
          <w:szCs w:val="18"/>
          <w:lang w:val="fr-FR"/>
        </w:rPr>
      </w:pPr>
      <w:r w:rsidRPr="00E50242">
        <w:rPr>
          <w:rFonts w:eastAsia="Times New Roman" w:cs="Times New Roman"/>
          <w:color w:val="000000"/>
          <w:szCs w:val="18"/>
          <w:lang w:eastAsia="en-GB"/>
        </w:rPr>
        <w:t>7.</w:t>
      </w:r>
      <w:r w:rsidRPr="00E50242">
        <w:rPr>
          <w:rFonts w:eastAsia="Times New Roman" w:cs="Times New Roman"/>
          <w:color w:val="000000"/>
          <w:szCs w:val="18"/>
          <w:lang w:eastAsia="en-GB"/>
        </w:rPr>
        <w:tab/>
        <w:t>Si las autoridades tienen que basar sus conclusiones, entre ellas las relativas al valor normal, en información procedente de una fuente secundaria, incluida la información que figure en la solicitud de iniciación de la investigación, deberán actuar con especial prudencia.</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En tales casos, y siempre que sea posible, deberán comprobar la información a la vista de la información de otras fuentes independientes de que dispongan -tales como listas de precios publicadas, estadísticas oficiales de importación y estadísticas de aduanas- y de la información obtenida de otras partes interesadas durante la investigación.</w:t>
      </w:r>
      <w:r w:rsidR="001A6A7F" w:rsidRPr="001A6A7F">
        <w:rPr>
          <w:rFonts w:eastAsia="Times New Roman" w:cs="Times New Roman"/>
          <w:color w:val="000000"/>
          <w:szCs w:val="18"/>
          <w:lang w:eastAsia="en-GB"/>
        </w:rPr>
        <w:t xml:space="preserve"> </w:t>
      </w:r>
      <w:r w:rsidRPr="00E50242">
        <w:rPr>
          <w:rFonts w:eastAsia="Times New Roman" w:cs="Times New Roman"/>
          <w:color w:val="000000"/>
          <w:szCs w:val="18"/>
          <w:lang w:eastAsia="en-GB"/>
        </w:rPr>
        <w:t>Como quiera que sea, es evidente que si una parte interesada no coopera, y en consecuencia dejan de comunicarse a las autoridades informaciones pertinentes, ello podría conducir a un resultado menos favorable para esa parte que si hubiera cooperado.</w:t>
      </w:r>
    </w:p>
    <w:sectPr w:rsidR="00503D18" w:rsidRPr="006C4965" w:rsidSect="001A6A7F">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1096ED" w14:textId="77777777" w:rsidR="00E50242" w:rsidRDefault="00E50242" w:rsidP="00E50242">
      <w:bookmarkStart w:id="4" w:name="_Hlk64466093"/>
      <w:bookmarkStart w:id="5" w:name="_Hlk64466094"/>
      <w:r>
        <w:separator/>
      </w:r>
      <w:bookmarkEnd w:id="4"/>
      <w:bookmarkEnd w:id="5"/>
    </w:p>
  </w:endnote>
  <w:endnote w:type="continuationSeparator" w:id="0">
    <w:p w14:paraId="0CF40DDB" w14:textId="77777777" w:rsidR="00E50242" w:rsidRDefault="00E50242" w:rsidP="00E50242">
      <w:bookmarkStart w:id="6" w:name="_Hlk64466095"/>
      <w:bookmarkStart w:id="7" w:name="_Hlk64466096"/>
      <w:r>
        <w:continuationSeparator/>
      </w:r>
      <w:bookmarkEnd w:id="6"/>
      <w:bookmarkEnd w:id="7"/>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1318D2" w14:textId="77777777" w:rsidR="004F5CAA" w:rsidRDefault="004F5CAA">
    <w:pPr>
      <w:pStyle w:val="Footer"/>
    </w:pPr>
    <w:bookmarkStart w:id="12" w:name="_Hlk64466081"/>
    <w:bookmarkStart w:id="13" w:name="_Hlk64466082"/>
    <w:bookmarkEnd w:id="12"/>
    <w:bookmarkEnd w:id="13"/>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D8F9F3" w14:textId="77777777" w:rsidR="004F5CAA" w:rsidRDefault="004F5CAA">
    <w:pPr>
      <w:pStyle w:val="Footer"/>
    </w:pPr>
    <w:bookmarkStart w:id="14" w:name="_Hlk64466083"/>
    <w:bookmarkStart w:id="15" w:name="_Hlk64466084"/>
    <w:bookmarkEnd w:id="14"/>
    <w:bookmarkEnd w:id="15"/>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83E7F0" w14:textId="77777777" w:rsidR="004F5CAA" w:rsidRDefault="004F5CAA">
    <w:pPr>
      <w:pStyle w:val="Footer"/>
    </w:pPr>
    <w:bookmarkStart w:id="18" w:name="_Hlk64466087"/>
    <w:bookmarkStart w:id="19" w:name="_Hlk64466088"/>
    <w:bookmarkEnd w:id="18"/>
    <w:bookmarkEnd w:id="19"/>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06219C" w14:textId="77777777" w:rsidR="00E50242" w:rsidRDefault="00E50242" w:rsidP="00E50242">
      <w:bookmarkStart w:id="0" w:name="_Hlk64466089"/>
      <w:bookmarkStart w:id="1" w:name="_Hlk64466090"/>
      <w:r>
        <w:separator/>
      </w:r>
      <w:bookmarkEnd w:id="0"/>
      <w:bookmarkEnd w:id="1"/>
    </w:p>
  </w:footnote>
  <w:footnote w:type="continuationSeparator" w:id="0">
    <w:p w14:paraId="4320211F" w14:textId="77777777" w:rsidR="00E50242" w:rsidRDefault="00E50242" w:rsidP="00E50242">
      <w:bookmarkStart w:id="2" w:name="_Hlk64466091"/>
      <w:bookmarkStart w:id="3" w:name="_Hlk64466092"/>
      <w:r>
        <w:continuationSeparator/>
      </w:r>
      <w:bookmarkEnd w:id="2"/>
      <w:bookmarkEnd w:id="3"/>
    </w:p>
  </w:footnote>
  <w:footnote w:id="1">
    <w:p w14:paraId="63027B2E" w14:textId="77777777" w:rsidR="00E50242" w:rsidRPr="001A6A7F" w:rsidRDefault="00E50242" w:rsidP="00E50242">
      <w:pPr>
        <w:pStyle w:val="FootnoteText"/>
        <w:rPr>
          <w:snapToGrid w:val="0"/>
          <w:szCs w:val="16"/>
          <w:lang w:eastAsia="en-US"/>
        </w:rPr>
      </w:pPr>
      <w:r w:rsidRPr="001A6A7F">
        <w:rPr>
          <w:rStyle w:val="FootnoteReference"/>
          <w:szCs w:val="16"/>
        </w:rPr>
        <w:footnoteRef/>
      </w:r>
      <w:r w:rsidRPr="001A6A7F">
        <w:rPr>
          <w:szCs w:val="16"/>
        </w:rPr>
        <w:t xml:space="preserve"> En el presente Acuerdo se entiende por "iniciación de una investigación" el trámite por el que un Miembro inicia o comienza formalmente una investigación según lo dispuesto en el artículo 5.</w:t>
      </w:r>
    </w:p>
  </w:footnote>
  <w:footnote w:id="2">
    <w:p w14:paraId="713C6FF2" w14:textId="7C8F0983" w:rsidR="00E50242" w:rsidRPr="001A6A7F" w:rsidRDefault="00E50242" w:rsidP="00E50242">
      <w:pPr>
        <w:pStyle w:val="FootnoteText"/>
        <w:rPr>
          <w:snapToGrid w:val="0"/>
          <w:szCs w:val="16"/>
          <w:lang w:eastAsia="en-US"/>
        </w:rPr>
      </w:pPr>
      <w:r w:rsidRPr="001A6A7F">
        <w:rPr>
          <w:rStyle w:val="FootnoteReference"/>
          <w:szCs w:val="16"/>
        </w:rPr>
        <w:footnoteRef/>
      </w:r>
      <w:r w:rsidRPr="001A6A7F">
        <w:rPr>
          <w:szCs w:val="16"/>
        </w:rPr>
        <w:t xml:space="preserve"> Normalmente se considerarán una cantidad suficiente para determinar el valor normal las ventas del producto similar destinado al consumo en el mercado interno del país exportador si dichas ventas representan el 5 por ciento o más de las ventas del producto considerado al Miembro importador;</w:t>
      </w:r>
      <w:r w:rsidR="001A6A7F" w:rsidRPr="001A6A7F">
        <w:rPr>
          <w:szCs w:val="16"/>
        </w:rPr>
        <w:t xml:space="preserve"> </w:t>
      </w:r>
      <w:r w:rsidRPr="001A6A7F">
        <w:rPr>
          <w:szCs w:val="16"/>
        </w:rPr>
        <w:t>no obstante, ha de ser aceptable una proporción menor cuando existan pruebas que demuestren que las ventas en el mercado interno, aunque representen esa menor proporción, son de magnitud suficiente para permitir una comparación adecuada.</w:t>
      </w:r>
    </w:p>
  </w:footnote>
  <w:footnote w:id="3">
    <w:p w14:paraId="369F87C2" w14:textId="77777777" w:rsidR="00E50242" w:rsidRPr="001A6A7F" w:rsidRDefault="00E50242" w:rsidP="00E50242">
      <w:pPr>
        <w:pStyle w:val="FootnoteText"/>
        <w:rPr>
          <w:snapToGrid w:val="0"/>
          <w:szCs w:val="16"/>
          <w:lang w:eastAsia="en-US"/>
        </w:rPr>
      </w:pPr>
      <w:r w:rsidRPr="001A6A7F">
        <w:rPr>
          <w:rStyle w:val="FootnoteReference"/>
          <w:szCs w:val="16"/>
        </w:rPr>
        <w:footnoteRef/>
      </w:r>
      <w:r w:rsidRPr="001A6A7F">
        <w:rPr>
          <w:szCs w:val="16"/>
        </w:rPr>
        <w:t xml:space="preserve"> Cuando se utiliza en el presente Acuerdo el término "autoridad" o "autoridades", deberá interpretarse en el sentido de autoridades de un nivel superior adecuado.</w:t>
      </w:r>
    </w:p>
  </w:footnote>
  <w:footnote w:id="4">
    <w:p w14:paraId="2127E63C" w14:textId="77777777" w:rsidR="00E50242" w:rsidRPr="001A6A7F" w:rsidRDefault="00E50242" w:rsidP="00E50242">
      <w:pPr>
        <w:pStyle w:val="FootnoteText"/>
        <w:rPr>
          <w:snapToGrid w:val="0"/>
          <w:szCs w:val="16"/>
          <w:lang w:eastAsia="en-US"/>
        </w:rPr>
      </w:pPr>
      <w:r w:rsidRPr="001A6A7F">
        <w:rPr>
          <w:rStyle w:val="FootnoteReference"/>
          <w:szCs w:val="16"/>
        </w:rPr>
        <w:footnoteRef/>
      </w:r>
      <w:r w:rsidRPr="001A6A7F">
        <w:rPr>
          <w:szCs w:val="16"/>
        </w:rPr>
        <w:t xml:space="preserve"> El período prolongado de tiempo deberá ser normalmente de un año, y nunca inferior a seis meses.</w:t>
      </w:r>
    </w:p>
  </w:footnote>
  <w:footnote w:id="5">
    <w:p w14:paraId="12B84D96" w14:textId="6B8FD4DD" w:rsidR="00E50242" w:rsidRPr="001A6A7F" w:rsidRDefault="00E50242" w:rsidP="00E50242">
      <w:pPr>
        <w:pStyle w:val="FootnoteText"/>
        <w:rPr>
          <w:snapToGrid w:val="0"/>
          <w:szCs w:val="16"/>
          <w:lang w:eastAsia="en-US"/>
        </w:rPr>
      </w:pPr>
      <w:r w:rsidRPr="001A6A7F">
        <w:rPr>
          <w:rStyle w:val="FootnoteReference"/>
          <w:szCs w:val="16"/>
        </w:rPr>
        <w:footnoteRef/>
      </w:r>
      <w:r w:rsidRPr="001A6A7F">
        <w:rPr>
          <w:szCs w:val="16"/>
        </w:rPr>
        <w:t xml:space="preserve"> Se habrán efectuado ventas a precios inferiores a los costos unitarios en cantidades sustanciales cuando las autoridades establezcan que la media ponderada de los precios de venta de las operaciones consideradas para la determinación del valor normal es inferior a la media ponderada de los costos unitarios o que el volumen de las ventas efectuadas a precios inferiores a los costos unitarios no representa menos del</w:t>
      </w:r>
      <w:r w:rsidR="008B053C">
        <w:rPr>
          <w:szCs w:val="16"/>
        </w:rPr>
        <w:t> </w:t>
      </w:r>
      <w:r w:rsidRPr="001A6A7F">
        <w:rPr>
          <w:szCs w:val="16"/>
        </w:rPr>
        <w:t>20</w:t>
      </w:r>
      <w:r w:rsidR="00024EAD">
        <w:rPr>
          <w:szCs w:val="16"/>
        </w:rPr>
        <w:t> </w:t>
      </w:r>
      <w:r w:rsidRPr="001A6A7F">
        <w:rPr>
          <w:szCs w:val="16"/>
        </w:rPr>
        <w:t>por ciento del volumen vendido en las operaciones consideradas para el cálculo del valor normal.</w:t>
      </w:r>
    </w:p>
  </w:footnote>
  <w:footnote w:id="6">
    <w:p w14:paraId="43853967" w14:textId="77777777" w:rsidR="00E50242" w:rsidRPr="001A6A7F" w:rsidRDefault="00E50242" w:rsidP="00E50242">
      <w:pPr>
        <w:pStyle w:val="FootnoteText"/>
        <w:rPr>
          <w:snapToGrid w:val="0"/>
          <w:szCs w:val="16"/>
          <w:lang w:eastAsia="en-US"/>
        </w:rPr>
      </w:pPr>
      <w:r w:rsidRPr="001A6A7F">
        <w:rPr>
          <w:rStyle w:val="FootnoteReference"/>
          <w:szCs w:val="16"/>
        </w:rPr>
        <w:footnoteRef/>
      </w:r>
      <w:r w:rsidRPr="001A6A7F">
        <w:rPr>
          <w:szCs w:val="16"/>
        </w:rPr>
        <w:t xml:space="preserve"> El ajuste que se efectúe por las operaciones de puesta en marcha reflejará los costos al final del período de puesta en marcha o, si éste se prolonga más allá del período objeto de investigación, los costos más recientes que las autoridades puedan razonablemente tener en cuenta durante la investigación.</w:t>
      </w:r>
    </w:p>
  </w:footnote>
  <w:footnote w:id="7">
    <w:p w14:paraId="68F7E9F3" w14:textId="77777777" w:rsidR="00E50242" w:rsidRPr="001A6A7F" w:rsidRDefault="00E50242" w:rsidP="00E50242">
      <w:pPr>
        <w:pStyle w:val="FootnoteText"/>
        <w:rPr>
          <w:snapToGrid w:val="0"/>
          <w:szCs w:val="16"/>
          <w:lang w:eastAsia="en-US"/>
        </w:rPr>
      </w:pPr>
      <w:r w:rsidRPr="001A6A7F">
        <w:rPr>
          <w:rStyle w:val="FootnoteReference"/>
          <w:szCs w:val="16"/>
        </w:rPr>
        <w:footnoteRef/>
      </w:r>
      <w:r w:rsidRPr="001A6A7F">
        <w:rPr>
          <w:szCs w:val="16"/>
        </w:rPr>
        <w:t xml:space="preserve"> Queda entendido que algunos de los factores arriba indicados pueden superponerse, y que las autoridades se asegurarán de que no se dupliquen ajustes ya realizados en virtud de la presente disposición.</w:t>
      </w:r>
    </w:p>
  </w:footnote>
  <w:footnote w:id="8">
    <w:p w14:paraId="09D6FEB3" w14:textId="77777777" w:rsidR="00E50242" w:rsidRPr="001A6A7F" w:rsidRDefault="00E50242" w:rsidP="00E50242">
      <w:pPr>
        <w:pStyle w:val="FootnoteText"/>
        <w:rPr>
          <w:snapToGrid w:val="0"/>
          <w:szCs w:val="16"/>
          <w:lang w:eastAsia="en-US"/>
        </w:rPr>
      </w:pPr>
      <w:r w:rsidRPr="001A6A7F">
        <w:rPr>
          <w:rStyle w:val="FootnoteReference"/>
          <w:szCs w:val="16"/>
        </w:rPr>
        <w:footnoteRef/>
      </w:r>
      <w:r w:rsidRPr="001A6A7F">
        <w:rPr>
          <w:szCs w:val="16"/>
        </w:rPr>
        <w:t xml:space="preserve"> Por regla general, la fecha de la venta será la del instrumento en que se establezcan las condiciones esenciales de la venta, bien sea el contrato, el pedido de compra, la confirmación del pedido, o la factura.</w:t>
      </w:r>
    </w:p>
  </w:footnote>
  <w:footnote w:id="9">
    <w:p w14:paraId="17F5D054" w14:textId="227E0A78" w:rsidR="00E50242" w:rsidRPr="001A6A7F" w:rsidRDefault="00E50242" w:rsidP="00E50242">
      <w:pPr>
        <w:pStyle w:val="FootnoteText"/>
        <w:rPr>
          <w:snapToGrid w:val="0"/>
          <w:szCs w:val="16"/>
          <w:lang w:eastAsia="en-US"/>
        </w:rPr>
      </w:pPr>
      <w:r w:rsidRPr="001A6A7F">
        <w:rPr>
          <w:rStyle w:val="FootnoteReference"/>
          <w:szCs w:val="16"/>
        </w:rPr>
        <w:footnoteRef/>
      </w:r>
      <w:r w:rsidRPr="001A6A7F">
        <w:rPr>
          <w:szCs w:val="16"/>
        </w:rPr>
        <w:t xml:space="preserve"> En el presente Acuerdo se entenderá por "daño", salvo indicación en contrario, un daño importante causado a una rama de producción nacional, una amenaza de daño importante a una rama de producción nacional o un retraso importante en la creación de esta rama de producción, y dicho término deberá interpretarse de conformidad con las disposiciones del presente artículo.</w:t>
      </w:r>
    </w:p>
  </w:footnote>
  <w:footnote w:id="10">
    <w:p w14:paraId="4C45DBF0" w14:textId="77777777" w:rsidR="00E50242" w:rsidRPr="001A6A7F" w:rsidRDefault="00E50242" w:rsidP="00E50242">
      <w:pPr>
        <w:pStyle w:val="FootnoteText"/>
        <w:rPr>
          <w:snapToGrid w:val="0"/>
          <w:szCs w:val="16"/>
          <w:lang w:eastAsia="en-US"/>
        </w:rPr>
      </w:pPr>
      <w:r w:rsidRPr="001A6A7F">
        <w:rPr>
          <w:rStyle w:val="FootnoteReference"/>
          <w:szCs w:val="16"/>
        </w:rPr>
        <w:footnoteRef/>
      </w:r>
      <w:r w:rsidRPr="001A6A7F">
        <w:rPr>
          <w:szCs w:val="16"/>
        </w:rPr>
        <w:t xml:space="preserve"> Un ejemplo de ello, si bien de carácter no exclusivo, es que existan razones convincentes para creer que en el futuro inmediato habrá un aumento sustancial de las importaciones del producto a precios de dumping.</w:t>
      </w:r>
    </w:p>
  </w:footnote>
  <w:footnote w:id="11">
    <w:p w14:paraId="2F137396" w14:textId="3321F655" w:rsidR="00E50242" w:rsidRPr="001A6A7F" w:rsidRDefault="00E50242" w:rsidP="00E50242">
      <w:pPr>
        <w:pStyle w:val="FootnoteText"/>
        <w:rPr>
          <w:snapToGrid w:val="0"/>
          <w:szCs w:val="16"/>
          <w:lang w:eastAsia="en-US"/>
        </w:rPr>
      </w:pPr>
      <w:r w:rsidRPr="001A6A7F">
        <w:rPr>
          <w:rStyle w:val="FootnoteReference"/>
          <w:szCs w:val="16"/>
        </w:rPr>
        <w:footnoteRef/>
      </w:r>
      <w:r w:rsidRPr="001A6A7F">
        <w:rPr>
          <w:szCs w:val="16"/>
        </w:rPr>
        <w:t xml:space="preserve"> A los efectos de este párrafo, únicamente se considerará que los productores están vinculados a los exportadores o a los importadores en los casos siguientes:</w:t>
      </w:r>
      <w:r w:rsidR="001A6A7F" w:rsidRPr="001A6A7F">
        <w:rPr>
          <w:szCs w:val="16"/>
        </w:rPr>
        <w:t xml:space="preserve"> </w:t>
      </w:r>
      <w:r w:rsidRPr="001A6A7F">
        <w:rPr>
          <w:szCs w:val="16"/>
        </w:rPr>
        <w:t>a) si uno de ellos controla directa o indirectamente al otro;</w:t>
      </w:r>
      <w:r w:rsidR="001A6A7F" w:rsidRPr="001A6A7F">
        <w:rPr>
          <w:szCs w:val="16"/>
        </w:rPr>
        <w:t xml:space="preserve"> </w:t>
      </w:r>
      <w:r w:rsidRPr="001A6A7F">
        <w:rPr>
          <w:szCs w:val="16"/>
        </w:rPr>
        <w:t>b) si ambos están directa o indirectamente controlados por una tercera persona;</w:t>
      </w:r>
      <w:r w:rsidR="001A6A7F" w:rsidRPr="001A6A7F">
        <w:rPr>
          <w:szCs w:val="16"/>
        </w:rPr>
        <w:t xml:space="preserve"> </w:t>
      </w:r>
      <w:r w:rsidRPr="001A6A7F">
        <w:rPr>
          <w:szCs w:val="16"/>
        </w:rPr>
        <w:t>o c) si juntos controlan directa o indirectamente a una tercera persona, siempre que existan razones para creer o sospechar que el efecto de la vinculación es de tal naturaleza que motiva de parte del productor considerado un comportamiento diferente del de los productores no vinculados.</w:t>
      </w:r>
      <w:r w:rsidR="001A6A7F" w:rsidRPr="001A6A7F">
        <w:rPr>
          <w:szCs w:val="16"/>
        </w:rPr>
        <w:t xml:space="preserve"> </w:t>
      </w:r>
      <w:r w:rsidRPr="001A6A7F">
        <w:rPr>
          <w:szCs w:val="16"/>
        </w:rPr>
        <w:t>A los efectos de este párrafo, se considerará que una persona controla a otra cuando la primera esté jurídica u operativamente en situación de imponer limitaciones o de dirigir a la segunda.</w:t>
      </w:r>
    </w:p>
  </w:footnote>
  <w:footnote w:id="12">
    <w:p w14:paraId="1845FC77" w14:textId="77777777" w:rsidR="00E50242" w:rsidRPr="001A6A7F" w:rsidRDefault="00E50242" w:rsidP="00E50242">
      <w:pPr>
        <w:pStyle w:val="FootnoteText"/>
        <w:rPr>
          <w:snapToGrid w:val="0"/>
          <w:szCs w:val="16"/>
          <w:lang w:eastAsia="en-US"/>
        </w:rPr>
      </w:pPr>
      <w:r w:rsidRPr="001A6A7F">
        <w:rPr>
          <w:rStyle w:val="FootnoteReference"/>
          <w:szCs w:val="16"/>
        </w:rPr>
        <w:footnoteRef/>
      </w:r>
      <w:r w:rsidRPr="001A6A7F">
        <w:rPr>
          <w:szCs w:val="16"/>
        </w:rPr>
        <w:t xml:space="preserve"> En el presente Acuerdo, con el término "percibir" se designa la liquidación o la recaudación definitivas de un derecho o gravamen por la autoridad competente.</w:t>
      </w:r>
    </w:p>
  </w:footnote>
  <w:footnote w:id="13">
    <w:p w14:paraId="4FF312D5" w14:textId="77777777" w:rsidR="00E50242" w:rsidRPr="001A6A7F" w:rsidRDefault="00E50242" w:rsidP="00E50242">
      <w:pPr>
        <w:pStyle w:val="FootnoteText"/>
        <w:rPr>
          <w:snapToGrid w:val="0"/>
          <w:szCs w:val="16"/>
          <w:lang w:eastAsia="en-US"/>
        </w:rPr>
      </w:pPr>
      <w:r w:rsidRPr="001A6A7F">
        <w:rPr>
          <w:rStyle w:val="FootnoteReference"/>
          <w:szCs w:val="16"/>
        </w:rPr>
        <w:footnoteRef/>
      </w:r>
      <w:r w:rsidRPr="001A6A7F">
        <w:rPr>
          <w:szCs w:val="16"/>
        </w:rPr>
        <w:t xml:space="preserve"> En el caso de ramas de producción fragmentadas que supongan un número excepcionalmente elevado de productores, las autoridades podrán determinar el apoyo y la oposición mediante la utilización de técnicas de muestreo estadísticamente válidas.</w:t>
      </w:r>
    </w:p>
  </w:footnote>
  <w:footnote w:id="14">
    <w:p w14:paraId="3B2658A9" w14:textId="77777777" w:rsidR="00E50242" w:rsidRPr="001A6A7F" w:rsidRDefault="00E50242" w:rsidP="00E50242">
      <w:pPr>
        <w:pStyle w:val="FootnoteText"/>
        <w:rPr>
          <w:snapToGrid w:val="0"/>
          <w:szCs w:val="16"/>
          <w:lang w:eastAsia="en-US"/>
        </w:rPr>
      </w:pPr>
      <w:r w:rsidRPr="001A6A7F">
        <w:rPr>
          <w:rStyle w:val="FootnoteReference"/>
          <w:szCs w:val="16"/>
        </w:rPr>
        <w:footnoteRef/>
      </w:r>
      <w:r w:rsidRPr="001A6A7F">
        <w:rPr>
          <w:szCs w:val="16"/>
        </w:rPr>
        <w:t xml:space="preserve"> Los Miembros son conscientes de que en el territorio de ciertos Miembros pueden presentar o apoyar una solicitud de investigación de conformidad con el párrafo 1 empleados de los productores nacionales del producto similar o representantes de esos empleados.</w:t>
      </w:r>
    </w:p>
  </w:footnote>
  <w:footnote w:id="15">
    <w:p w14:paraId="492418B8" w14:textId="77777777" w:rsidR="00E50242" w:rsidRPr="001A6A7F" w:rsidRDefault="00E50242" w:rsidP="00E50242">
      <w:pPr>
        <w:pStyle w:val="FootnoteText"/>
        <w:rPr>
          <w:snapToGrid w:val="0"/>
          <w:szCs w:val="16"/>
          <w:lang w:eastAsia="en-US"/>
        </w:rPr>
      </w:pPr>
      <w:r w:rsidRPr="001A6A7F">
        <w:rPr>
          <w:rStyle w:val="FootnoteReference"/>
          <w:szCs w:val="16"/>
        </w:rPr>
        <w:footnoteRef/>
      </w:r>
      <w:r w:rsidRPr="001A6A7F">
        <w:rPr>
          <w:szCs w:val="16"/>
        </w:rPr>
        <w:t xml:space="preserve"> Por regla general, los plazos dados a los exportadores se contarán a partir de la fecha de recibo del cuestionario, el cual, a tal efecto, se considerará recibido una semana después de la fecha en que haya sido enviado al destinatario o transmitido al representante diplomático competente del Miembro exportador o, en el caso de un territorio aduanero distinto Miembro de la OMC, a un representante oficial del territorio exportador.</w:t>
      </w:r>
    </w:p>
  </w:footnote>
  <w:footnote w:id="16">
    <w:p w14:paraId="08D53612" w14:textId="77777777" w:rsidR="00E50242" w:rsidRPr="001A6A7F" w:rsidRDefault="00E50242" w:rsidP="00E50242">
      <w:pPr>
        <w:pStyle w:val="FootnoteText"/>
        <w:rPr>
          <w:snapToGrid w:val="0"/>
          <w:szCs w:val="16"/>
          <w:lang w:eastAsia="en-US"/>
        </w:rPr>
      </w:pPr>
      <w:r w:rsidRPr="001A6A7F">
        <w:rPr>
          <w:rStyle w:val="FootnoteReference"/>
          <w:szCs w:val="16"/>
        </w:rPr>
        <w:footnoteRef/>
      </w:r>
      <w:r w:rsidRPr="001A6A7F">
        <w:rPr>
          <w:szCs w:val="16"/>
        </w:rPr>
        <w:t xml:space="preserve"> Queda entendido que, si el número de exportadores de que se trata es muy elevado, el texto completo de la solicitud escrita se facilitará solamente a las autoridades del Miembro exportador o a la asociación mercantil o gremial competente.</w:t>
      </w:r>
    </w:p>
  </w:footnote>
  <w:footnote w:id="17">
    <w:p w14:paraId="7688013D" w14:textId="77777777" w:rsidR="00E50242" w:rsidRPr="001A6A7F" w:rsidRDefault="00E50242" w:rsidP="00E50242">
      <w:pPr>
        <w:pStyle w:val="FootnoteText"/>
        <w:rPr>
          <w:snapToGrid w:val="0"/>
          <w:szCs w:val="16"/>
          <w:lang w:eastAsia="en-US"/>
        </w:rPr>
      </w:pPr>
      <w:r w:rsidRPr="001A6A7F">
        <w:rPr>
          <w:rStyle w:val="FootnoteReference"/>
          <w:szCs w:val="16"/>
        </w:rPr>
        <w:footnoteRef/>
      </w:r>
      <w:r w:rsidRPr="001A6A7F">
        <w:rPr>
          <w:szCs w:val="16"/>
        </w:rPr>
        <w:t xml:space="preserve"> Los Miembros son conscientes de que, en el territorio de algunos Miembros, podrá ser necesario revelar una información en cumplimiento de una providencia precautoria concebida en términos muy precisos.</w:t>
      </w:r>
    </w:p>
  </w:footnote>
  <w:footnote w:id="18">
    <w:p w14:paraId="5AA483E9" w14:textId="77777777" w:rsidR="00E50242" w:rsidRPr="001A6A7F" w:rsidRDefault="00E50242" w:rsidP="00E50242">
      <w:pPr>
        <w:pStyle w:val="FootnoteText"/>
        <w:rPr>
          <w:snapToGrid w:val="0"/>
          <w:szCs w:val="16"/>
          <w:lang w:eastAsia="en-US"/>
        </w:rPr>
      </w:pPr>
      <w:r w:rsidRPr="001A6A7F">
        <w:rPr>
          <w:rStyle w:val="FootnoteReference"/>
          <w:szCs w:val="16"/>
        </w:rPr>
        <w:footnoteRef/>
      </w:r>
      <w:r w:rsidRPr="001A6A7F">
        <w:rPr>
          <w:szCs w:val="16"/>
        </w:rPr>
        <w:t xml:space="preserve"> Los Miembros acuerdan que no deberán rechazarse arbitrariamente las peticiones de que se considere confidencial una información.</w:t>
      </w:r>
    </w:p>
  </w:footnote>
  <w:footnote w:id="19">
    <w:p w14:paraId="74655A22" w14:textId="5864527E" w:rsidR="00E50242" w:rsidRPr="001A6A7F" w:rsidRDefault="00E50242" w:rsidP="00E50242">
      <w:pPr>
        <w:pStyle w:val="FootnoteText"/>
        <w:rPr>
          <w:snapToGrid w:val="0"/>
          <w:szCs w:val="16"/>
          <w:lang w:eastAsia="en-US"/>
        </w:rPr>
      </w:pPr>
      <w:r w:rsidRPr="001A6A7F">
        <w:rPr>
          <w:rStyle w:val="FootnoteReference"/>
          <w:szCs w:val="16"/>
        </w:rPr>
        <w:footnoteRef/>
      </w:r>
      <w:r w:rsidRPr="001A6A7F">
        <w:rPr>
          <w:szCs w:val="16"/>
        </w:rPr>
        <w:t xml:space="preserve"> La palabra "podrán" no se interpretará en el sentido de que se permite continuar los procedimientos simultáneamente con la aplicación de los compromisos relativos a los precios, salvo en los casos previstos en el párrafo 4.</w:t>
      </w:r>
    </w:p>
  </w:footnote>
  <w:footnote w:id="20">
    <w:p w14:paraId="6F3FB80B" w14:textId="77777777" w:rsidR="00E50242" w:rsidRPr="001A6A7F" w:rsidRDefault="00E50242" w:rsidP="00E50242">
      <w:pPr>
        <w:pStyle w:val="FootnoteText"/>
        <w:rPr>
          <w:snapToGrid w:val="0"/>
          <w:szCs w:val="16"/>
          <w:lang w:eastAsia="en-US"/>
        </w:rPr>
      </w:pPr>
      <w:r w:rsidRPr="001A6A7F">
        <w:rPr>
          <w:rStyle w:val="FootnoteReference"/>
          <w:szCs w:val="16"/>
        </w:rPr>
        <w:footnoteRef/>
      </w:r>
      <w:r w:rsidRPr="001A6A7F">
        <w:rPr>
          <w:szCs w:val="16"/>
        </w:rPr>
        <w:t xml:space="preserve"> Queda entendido que, cuando el caso del producto en cuestión esté sometido a un procedimiento de revisión judicial, podrá no ser posible la observancia de los plazos mencionados en este apartado y en el apartado 3.2.</w:t>
      </w:r>
    </w:p>
  </w:footnote>
  <w:footnote w:id="21">
    <w:p w14:paraId="7A847B33" w14:textId="10EF499E" w:rsidR="00E50242" w:rsidRPr="001A6A7F" w:rsidRDefault="00E50242" w:rsidP="00E50242">
      <w:pPr>
        <w:pStyle w:val="FootnoteText"/>
        <w:rPr>
          <w:snapToGrid w:val="0"/>
          <w:szCs w:val="16"/>
          <w:lang w:eastAsia="en-US"/>
        </w:rPr>
      </w:pPr>
      <w:r w:rsidRPr="001A6A7F">
        <w:rPr>
          <w:rStyle w:val="FootnoteReference"/>
          <w:szCs w:val="16"/>
        </w:rPr>
        <w:footnoteRef/>
      </w:r>
      <w:r w:rsidRPr="001A6A7F">
        <w:rPr>
          <w:szCs w:val="16"/>
        </w:rPr>
        <w:t xml:space="preserve"> Por sí misma, la determinación definitiva de la cuantía del derecho antidumping a que se refiere el párrafo 3 del artículo</w:t>
      </w:r>
      <w:r w:rsidR="001A6A7F" w:rsidRPr="001A6A7F">
        <w:rPr>
          <w:szCs w:val="16"/>
        </w:rPr>
        <w:t xml:space="preserve"> </w:t>
      </w:r>
      <w:r w:rsidRPr="001A6A7F">
        <w:rPr>
          <w:szCs w:val="16"/>
        </w:rPr>
        <w:t>9 no constituye un examen en el sentido del presente artículo.</w:t>
      </w:r>
    </w:p>
  </w:footnote>
  <w:footnote w:id="22">
    <w:p w14:paraId="47774172" w14:textId="77777777" w:rsidR="00E50242" w:rsidRPr="001A6A7F" w:rsidRDefault="00E50242" w:rsidP="00E50242">
      <w:pPr>
        <w:pStyle w:val="FootnoteText"/>
        <w:rPr>
          <w:snapToGrid w:val="0"/>
          <w:szCs w:val="16"/>
          <w:lang w:eastAsia="en-US"/>
        </w:rPr>
      </w:pPr>
      <w:r w:rsidRPr="001A6A7F">
        <w:rPr>
          <w:rStyle w:val="FootnoteReference"/>
          <w:szCs w:val="16"/>
        </w:rPr>
        <w:footnoteRef/>
      </w:r>
      <w:r w:rsidRPr="001A6A7F">
        <w:rPr>
          <w:szCs w:val="16"/>
        </w:rPr>
        <w:t xml:space="preserve"> Cuando la cuantía del derecho antidumping se fije de forma retrospectiva, si en el procedimiento más reciente de fijación de esa cuantía de conformidad con el apartado 3.1 del artículo 9 se concluyera que no debe percibirse ningún derecho, esa conclusión no obligará por sí misma a las autoridades a suprimir el derecho definitivo.</w:t>
      </w:r>
    </w:p>
  </w:footnote>
  <w:footnote w:id="23">
    <w:p w14:paraId="45169E3C" w14:textId="77777777" w:rsidR="00E50242" w:rsidRPr="001A6A7F" w:rsidRDefault="00E50242" w:rsidP="00E50242">
      <w:pPr>
        <w:pStyle w:val="FootnoteText"/>
        <w:rPr>
          <w:snapToGrid w:val="0"/>
          <w:szCs w:val="16"/>
          <w:lang w:eastAsia="en-US"/>
        </w:rPr>
      </w:pPr>
      <w:r w:rsidRPr="001A6A7F">
        <w:rPr>
          <w:rStyle w:val="FootnoteReference"/>
          <w:szCs w:val="16"/>
        </w:rPr>
        <w:footnoteRef/>
      </w:r>
      <w:r w:rsidRPr="001A6A7F">
        <w:rPr>
          <w:szCs w:val="16"/>
        </w:rPr>
        <w:t xml:space="preserve"> Cuando las autoridades faciliten información o aclaraciones de conformidad con las disposiciones del presente artículo en un informe separado, se asegurarán de que el público tenga fácil acceso a ese informe.</w:t>
      </w:r>
    </w:p>
  </w:footnote>
  <w:footnote w:id="24">
    <w:p w14:paraId="0FC14C40" w14:textId="4CD46CBB" w:rsidR="00E50242" w:rsidRPr="001A6A7F" w:rsidRDefault="00E50242" w:rsidP="00E50242">
      <w:pPr>
        <w:pStyle w:val="FootnoteText"/>
        <w:rPr>
          <w:snapToGrid w:val="0"/>
          <w:szCs w:val="16"/>
          <w:lang w:eastAsia="en-US"/>
        </w:rPr>
      </w:pPr>
      <w:r w:rsidRPr="001A6A7F">
        <w:rPr>
          <w:rStyle w:val="FootnoteReference"/>
          <w:szCs w:val="16"/>
        </w:rPr>
        <w:footnoteRef/>
      </w:r>
      <w:r w:rsidRPr="001A6A7F">
        <w:rPr>
          <w:szCs w:val="16"/>
        </w:rPr>
        <w:t xml:space="preserve"> Esta cláusula no pretende excluir la adopción de medidas al amparo de otras disposiciones pertinentes del GATT de</w:t>
      </w:r>
      <w:r w:rsidR="001A6A7F" w:rsidRPr="001A6A7F">
        <w:rPr>
          <w:szCs w:val="16"/>
        </w:rPr>
        <w:t xml:space="preserve"> </w:t>
      </w:r>
      <w:r w:rsidRPr="001A6A7F">
        <w:rPr>
          <w:szCs w:val="16"/>
        </w:rPr>
        <w:t>1994, según proceda.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DEAA15" w14:textId="77777777" w:rsidR="004F5CAA" w:rsidRDefault="004F5CAA">
    <w:pPr>
      <w:pStyle w:val="Header"/>
    </w:pPr>
    <w:bookmarkStart w:id="8" w:name="_Hlk64466077"/>
    <w:bookmarkStart w:id="9" w:name="_Hlk64466078"/>
    <w:bookmarkEnd w:id="8"/>
    <w:bookmarkEnd w:id="9"/>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4CA958" w14:textId="77777777" w:rsidR="00477EC2" w:rsidRDefault="00477EC2" w:rsidP="00477EC2">
    <w:pPr>
      <w:pStyle w:val="Header"/>
      <w:pBdr>
        <w:bottom w:val="single" w:sz="4" w:space="1" w:color="auto"/>
      </w:pBdr>
      <w:spacing w:after="240"/>
      <w:jc w:val="center"/>
    </w:pPr>
    <w:bookmarkStart w:id="10" w:name="_Hlk64466079"/>
    <w:bookmarkStart w:id="11" w:name="_Hlk64466080"/>
  </w:p>
  <w:p w14:paraId="2269694C" w14:textId="09DF4AFE" w:rsidR="00F60D3A" w:rsidRPr="002C6056" w:rsidRDefault="00E50242" w:rsidP="00E50242">
    <w:pPr>
      <w:pStyle w:val="Header"/>
      <w:pBdr>
        <w:bottom w:val="single" w:sz="4" w:space="1" w:color="auto"/>
      </w:pBdr>
      <w:spacing w:line="120" w:lineRule="atLeast"/>
      <w:jc w:val="center"/>
    </w:pPr>
    <w:r w:rsidRPr="003C40CE">
      <w:t xml:space="preserve">- </w:t>
    </w:r>
    <w:r w:rsidRPr="003C40CE">
      <w:fldChar w:fldCharType="begin"/>
    </w:r>
    <w:r w:rsidRPr="003C40CE">
      <w:instrText xml:space="preserve"> PAGE </w:instrText>
    </w:r>
    <w:r w:rsidRPr="003C40CE">
      <w:fldChar w:fldCharType="separate"/>
    </w:r>
    <w:r>
      <w:t>1</w:t>
    </w:r>
    <w:r w:rsidRPr="003C40CE">
      <w:fldChar w:fldCharType="end"/>
    </w:r>
    <w:r w:rsidRPr="003C40CE">
      <w:t xml:space="preserve"> </w:t>
    </w:r>
    <w:r w:rsidR="00F60D3A">
      <w:t>-</w:t>
    </w:r>
  </w:p>
  <w:bookmarkEnd w:id="10"/>
  <w:bookmarkEnd w:id="11"/>
  <w:p w14:paraId="635912E3" w14:textId="77777777" w:rsidR="00E50242" w:rsidRDefault="00E502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681AC8" w14:textId="77777777" w:rsidR="004F5CAA" w:rsidRDefault="004F5CAA">
    <w:pPr>
      <w:pStyle w:val="Header"/>
    </w:pPr>
    <w:bookmarkStart w:id="16" w:name="_Hlk64466085"/>
    <w:bookmarkStart w:id="17" w:name="_Hlk64466086"/>
    <w:bookmarkEnd w:id="16"/>
    <w:bookmarkEnd w:id="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57C0E04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9806D4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9980C5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9F0EEA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D54DFD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5C80E5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E04C17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8AAA3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18048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36796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3E948C5"/>
    <w:multiLevelType w:val="multilevel"/>
    <w:tmpl w:val="C0586AEE"/>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Symbol" w:hAnsi="Symbol" w:hint="default"/>
        <w:color w:val="auto"/>
      </w:rPr>
    </w:lvl>
    <w:lvl w:ilvl="2">
      <w:start w:val="1"/>
      <w:numFmt w:val="bullet"/>
      <w:pStyle w:val="ListBullet3"/>
      <w:lvlText w:val=""/>
      <w:lvlJc w:val="left"/>
      <w:pPr>
        <w:tabs>
          <w:tab w:val="num" w:pos="1701"/>
        </w:tabs>
        <w:ind w:left="1701" w:hanging="567"/>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15:restartNumberingAfterBreak="0">
    <w:nsid w:val="57551E12"/>
    <w:multiLevelType w:val="multilevel"/>
    <w:tmpl w:val="CF8A6B08"/>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1134"/>
        </w:tabs>
        <w:ind w:left="1134" w:hanging="567"/>
      </w:pPr>
      <w:rPr>
        <w:rFonts w:hint="default"/>
      </w:rPr>
    </w:lvl>
    <w:lvl w:ilvl="8">
      <w:start w:val="1"/>
      <w:numFmt w:val="lowerRoman"/>
      <w:pStyle w:val="BodyText3"/>
      <w:lvlText w:val="%9."/>
      <w:lvlJc w:val="left"/>
      <w:pPr>
        <w:tabs>
          <w:tab w:val="num" w:pos="1701"/>
        </w:tabs>
        <w:ind w:left="1701" w:hanging="567"/>
      </w:pPr>
      <w:rPr>
        <w:rFonts w:hint="default"/>
      </w:rPr>
    </w:lvl>
  </w:abstractNum>
  <w:abstractNum w:abstractNumId="12"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1"/>
  </w:num>
  <w:num w:numId="2">
    <w:abstractNumId w:val="8"/>
  </w:num>
  <w:num w:numId="3">
    <w:abstractNumId w:val="8"/>
  </w:num>
  <w:num w:numId="4">
    <w:abstractNumId w:val="3"/>
  </w:num>
  <w:num w:numId="5">
    <w:abstractNumId w:val="3"/>
  </w:num>
  <w:num w:numId="6">
    <w:abstractNumId w:val="2"/>
  </w:num>
  <w:num w:numId="7">
    <w:abstractNumId w:val="2"/>
  </w:num>
  <w:num w:numId="8">
    <w:abstractNumId w:val="1"/>
  </w:num>
  <w:num w:numId="9">
    <w:abstractNumId w:val="1"/>
  </w:num>
  <w:num w:numId="10">
    <w:abstractNumId w:val="0"/>
  </w:num>
  <w:num w:numId="11">
    <w:abstractNumId w:val="0"/>
  </w:num>
  <w:num w:numId="12">
    <w:abstractNumId w:val="9"/>
  </w:num>
  <w:num w:numId="13">
    <w:abstractNumId w:val="10"/>
  </w:num>
  <w:num w:numId="14">
    <w:abstractNumId w:val="7"/>
  </w:num>
  <w:num w:numId="15">
    <w:abstractNumId w:val="10"/>
  </w:num>
  <w:num w:numId="16">
    <w:abstractNumId w:val="6"/>
  </w:num>
  <w:num w:numId="17">
    <w:abstractNumId w:val="10"/>
  </w:num>
  <w:num w:numId="18">
    <w:abstractNumId w:val="5"/>
  </w:num>
  <w:num w:numId="19">
    <w:abstractNumId w:val="10"/>
  </w:num>
  <w:num w:numId="20">
    <w:abstractNumId w:val="4"/>
  </w:num>
  <w:num w:numId="21">
    <w:abstractNumId w:val="10"/>
  </w:num>
  <w:num w:numId="22">
    <w:abstractNumId w:val="10"/>
  </w:num>
  <w:num w:numId="23">
    <w:abstractNumId w:val="12"/>
  </w:num>
  <w:num w:numId="24">
    <w:abstractNumId w:val="11"/>
  </w:num>
  <w:num w:numId="25">
    <w:abstractNumId w:val="11"/>
  </w:num>
  <w:num w:numId="26">
    <w:abstractNumId w:val="11"/>
  </w:num>
  <w:num w:numId="27">
    <w:abstractNumId w:val="11"/>
  </w:num>
  <w:num w:numId="28">
    <w:abstractNumId w:val="11"/>
  </w:num>
  <w:num w:numId="29">
    <w:abstractNumId w:val="11"/>
  </w:num>
  <w:num w:numId="30">
    <w:abstractNumId w:val="11"/>
  </w:num>
  <w:num w:numId="31">
    <w:abstractNumId w:val="11"/>
  </w:num>
  <w:num w:numId="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defaultTabStop w:val="567"/>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242"/>
    <w:rsid w:val="00023FAB"/>
    <w:rsid w:val="00024EAD"/>
    <w:rsid w:val="000255FE"/>
    <w:rsid w:val="0007004B"/>
    <w:rsid w:val="000A2BF3"/>
    <w:rsid w:val="000A2D76"/>
    <w:rsid w:val="001454FC"/>
    <w:rsid w:val="001730BA"/>
    <w:rsid w:val="001A6A7F"/>
    <w:rsid w:val="001D3C29"/>
    <w:rsid w:val="001E6F9F"/>
    <w:rsid w:val="00206448"/>
    <w:rsid w:val="00271499"/>
    <w:rsid w:val="00292C07"/>
    <w:rsid w:val="002B01EE"/>
    <w:rsid w:val="002B64A8"/>
    <w:rsid w:val="002C7B72"/>
    <w:rsid w:val="0035093C"/>
    <w:rsid w:val="00382AF2"/>
    <w:rsid w:val="0039151F"/>
    <w:rsid w:val="003A6C6C"/>
    <w:rsid w:val="0041250B"/>
    <w:rsid w:val="00447020"/>
    <w:rsid w:val="004703E8"/>
    <w:rsid w:val="00477EC2"/>
    <w:rsid w:val="004817AF"/>
    <w:rsid w:val="00492E41"/>
    <w:rsid w:val="004C7EB1"/>
    <w:rsid w:val="004D0CCC"/>
    <w:rsid w:val="004E44FA"/>
    <w:rsid w:val="004E4C15"/>
    <w:rsid w:val="004E6DED"/>
    <w:rsid w:val="004F046B"/>
    <w:rsid w:val="004F5CAA"/>
    <w:rsid w:val="00503D18"/>
    <w:rsid w:val="005133CF"/>
    <w:rsid w:val="005340B0"/>
    <w:rsid w:val="00594F5B"/>
    <w:rsid w:val="005E1714"/>
    <w:rsid w:val="00606C66"/>
    <w:rsid w:val="00606EA3"/>
    <w:rsid w:val="006100E4"/>
    <w:rsid w:val="00623878"/>
    <w:rsid w:val="0063405D"/>
    <w:rsid w:val="006461D4"/>
    <w:rsid w:val="006B2143"/>
    <w:rsid w:val="006B639F"/>
    <w:rsid w:val="006C4965"/>
    <w:rsid w:val="006C54D4"/>
    <w:rsid w:val="006F10F5"/>
    <w:rsid w:val="007115D1"/>
    <w:rsid w:val="00713001"/>
    <w:rsid w:val="00721078"/>
    <w:rsid w:val="00742AB2"/>
    <w:rsid w:val="00743EEA"/>
    <w:rsid w:val="00762170"/>
    <w:rsid w:val="007728E9"/>
    <w:rsid w:val="00783311"/>
    <w:rsid w:val="00801B0F"/>
    <w:rsid w:val="008546F0"/>
    <w:rsid w:val="008719E5"/>
    <w:rsid w:val="00876742"/>
    <w:rsid w:val="008A23C0"/>
    <w:rsid w:val="008B04C5"/>
    <w:rsid w:val="008B053C"/>
    <w:rsid w:val="008F4252"/>
    <w:rsid w:val="00904883"/>
    <w:rsid w:val="0092195E"/>
    <w:rsid w:val="00934AEB"/>
    <w:rsid w:val="0094616E"/>
    <w:rsid w:val="0097797E"/>
    <w:rsid w:val="00A10038"/>
    <w:rsid w:val="00A12182"/>
    <w:rsid w:val="00A40119"/>
    <w:rsid w:val="00A464CB"/>
    <w:rsid w:val="00AD1B17"/>
    <w:rsid w:val="00B17D8C"/>
    <w:rsid w:val="00B5155C"/>
    <w:rsid w:val="00B52FDB"/>
    <w:rsid w:val="00B6349F"/>
    <w:rsid w:val="00B809E4"/>
    <w:rsid w:val="00B962F5"/>
    <w:rsid w:val="00BE11CE"/>
    <w:rsid w:val="00C04040"/>
    <w:rsid w:val="00C16BDC"/>
    <w:rsid w:val="00CA627D"/>
    <w:rsid w:val="00D372E7"/>
    <w:rsid w:val="00D77A29"/>
    <w:rsid w:val="00D81503"/>
    <w:rsid w:val="00D96A27"/>
    <w:rsid w:val="00DB4A40"/>
    <w:rsid w:val="00DD55C8"/>
    <w:rsid w:val="00DE25F0"/>
    <w:rsid w:val="00E12201"/>
    <w:rsid w:val="00E31782"/>
    <w:rsid w:val="00E50242"/>
    <w:rsid w:val="00E5769E"/>
    <w:rsid w:val="00E66870"/>
    <w:rsid w:val="00E858DD"/>
    <w:rsid w:val="00ED7814"/>
    <w:rsid w:val="00EF5F72"/>
    <w:rsid w:val="00F11273"/>
    <w:rsid w:val="00F60D3A"/>
    <w:rsid w:val="00F95DDF"/>
    <w:rsid w:val="00FC5DC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260F378"/>
  <w15:chartTrackingRefBased/>
  <w15:docId w15:val="{6FB66FF7-B3F5-42CD-BEFE-7746F2EBF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semiHidden="1" w:uiPriority="1" w:unhideWhenUsed="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lsdException w:name="List Bullet 4" w:semiHidden="1" w:uiPriority="1" w:unhideWhenUsed="1"/>
    <w:lsdException w:name="List Bullet 5" w:semiHidden="1" w:uiPriority="1" w:unhideWhenUsed="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1" w:unhideWhenUsed="1" w:qFormat="1"/>
    <w:lsdException w:name="Body Text 3" w:semiHidden="1" w:uiPriority="1" w:unhideWhenUsed="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250B"/>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503D18"/>
    <w:pPr>
      <w:keepNext/>
      <w:keepLines/>
      <w:numPr>
        <w:numId w:val="1"/>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503D18"/>
    <w:pPr>
      <w:keepNext/>
      <w:keepLines/>
      <w:numPr>
        <w:ilvl w:val="1"/>
        <w:numId w:val="1"/>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503D18"/>
    <w:pPr>
      <w:keepNext/>
      <w:keepLines/>
      <w:numPr>
        <w:ilvl w:val="2"/>
        <w:numId w:val="1"/>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503D18"/>
    <w:pPr>
      <w:keepNext/>
      <w:keepLines/>
      <w:numPr>
        <w:ilvl w:val="3"/>
        <w:numId w:val="1"/>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503D18"/>
    <w:pPr>
      <w:keepNext/>
      <w:keepLines/>
      <w:numPr>
        <w:ilvl w:val="4"/>
        <w:numId w:val="1"/>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503D18"/>
    <w:pPr>
      <w:keepNext/>
      <w:keepLines/>
      <w:numPr>
        <w:ilvl w:val="5"/>
        <w:numId w:val="1"/>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41250B"/>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41250B"/>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41250B"/>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Acronym">
    <w:name w:val="HTML Acronym"/>
    <w:basedOn w:val="DefaultParagraphFont"/>
    <w:uiPriority w:val="99"/>
    <w:semiHidden/>
    <w:unhideWhenUsed/>
    <w:rsid w:val="0041250B"/>
  </w:style>
  <w:style w:type="paragraph" w:customStyle="1" w:styleId="Answer">
    <w:name w:val="Answer"/>
    <w:basedOn w:val="Normal"/>
    <w:link w:val="AnswerChar"/>
    <w:uiPriority w:val="6"/>
    <w:qFormat/>
    <w:rsid w:val="0041250B"/>
    <w:pPr>
      <w:spacing w:after="240"/>
      <w:ind w:left="1077"/>
    </w:pPr>
    <w:rPr>
      <w:rFonts w:eastAsia="Calibri" w:cs="Times New Roman"/>
    </w:rPr>
  </w:style>
  <w:style w:type="character" w:customStyle="1" w:styleId="AnswerChar">
    <w:name w:val="Answer Char"/>
    <w:link w:val="Answer"/>
    <w:uiPriority w:val="6"/>
    <w:rsid w:val="0041250B"/>
    <w:rPr>
      <w:rFonts w:ascii="Verdana" w:eastAsia="Calibri" w:hAnsi="Verdana" w:cs="Times New Roman"/>
      <w:sz w:val="18"/>
    </w:rPr>
  </w:style>
  <w:style w:type="paragraph" w:styleId="CommentText">
    <w:name w:val="annotation text"/>
    <w:basedOn w:val="Normal"/>
    <w:link w:val="CommentTextChar"/>
    <w:uiPriority w:val="99"/>
    <w:unhideWhenUsed/>
    <w:rsid w:val="0041250B"/>
    <w:rPr>
      <w:sz w:val="20"/>
      <w:szCs w:val="20"/>
    </w:rPr>
  </w:style>
  <w:style w:type="character" w:customStyle="1" w:styleId="CommentTextChar">
    <w:name w:val="Comment Text Char"/>
    <w:basedOn w:val="DefaultParagraphFont"/>
    <w:link w:val="CommentText"/>
    <w:uiPriority w:val="99"/>
    <w:rsid w:val="0041250B"/>
    <w:rPr>
      <w:rFonts w:ascii="Verdana" w:hAnsi="Verdana"/>
      <w:sz w:val="20"/>
      <w:szCs w:val="20"/>
    </w:rPr>
  </w:style>
  <w:style w:type="paragraph" w:styleId="CommentSubject">
    <w:name w:val="annotation subject"/>
    <w:basedOn w:val="CommentText"/>
    <w:next w:val="CommentText"/>
    <w:link w:val="CommentSubjectChar"/>
    <w:uiPriority w:val="99"/>
    <w:unhideWhenUsed/>
    <w:rsid w:val="0041250B"/>
    <w:rPr>
      <w:b/>
      <w:bCs/>
    </w:rPr>
  </w:style>
  <w:style w:type="character" w:customStyle="1" w:styleId="CommentSubjectChar">
    <w:name w:val="Comment Subject Char"/>
    <w:basedOn w:val="CommentTextChar"/>
    <w:link w:val="CommentSubject"/>
    <w:uiPriority w:val="99"/>
    <w:rsid w:val="0041250B"/>
    <w:rPr>
      <w:rFonts w:ascii="Verdana" w:hAnsi="Verdana"/>
      <w:b/>
      <w:bCs/>
      <w:sz w:val="20"/>
      <w:szCs w:val="20"/>
    </w:rPr>
  </w:style>
  <w:style w:type="paragraph" w:styleId="Bibliography">
    <w:name w:val="Bibliography"/>
    <w:basedOn w:val="Normal"/>
    <w:next w:val="Normal"/>
    <w:uiPriority w:val="49"/>
    <w:semiHidden/>
    <w:unhideWhenUsed/>
    <w:rsid w:val="0041250B"/>
  </w:style>
  <w:style w:type="paragraph" w:styleId="Closing">
    <w:name w:val="Closing"/>
    <w:basedOn w:val="Normal"/>
    <w:link w:val="ClosingChar"/>
    <w:uiPriority w:val="99"/>
    <w:semiHidden/>
    <w:unhideWhenUsed/>
    <w:rsid w:val="0041250B"/>
    <w:pPr>
      <w:ind w:left="4252"/>
    </w:pPr>
  </w:style>
  <w:style w:type="character" w:customStyle="1" w:styleId="ClosingChar">
    <w:name w:val="Closing Char"/>
    <w:basedOn w:val="DefaultParagraphFont"/>
    <w:link w:val="Closing"/>
    <w:uiPriority w:val="99"/>
    <w:semiHidden/>
    <w:rsid w:val="0041250B"/>
    <w:rPr>
      <w:rFonts w:ascii="Verdana" w:hAnsi="Verdana"/>
      <w:sz w:val="18"/>
    </w:rPr>
  </w:style>
  <w:style w:type="paragraph" w:styleId="Quote">
    <w:name w:val="Quote"/>
    <w:basedOn w:val="Normal"/>
    <w:next w:val="Normal"/>
    <w:link w:val="QuoteChar"/>
    <w:uiPriority w:val="59"/>
    <w:unhideWhenUsed/>
    <w:qFormat/>
    <w:rsid w:val="0041250B"/>
    <w:rPr>
      <w:i/>
      <w:iCs/>
      <w:color w:val="000000" w:themeColor="text1"/>
    </w:rPr>
  </w:style>
  <w:style w:type="character" w:customStyle="1" w:styleId="QuoteChar">
    <w:name w:val="Quote Char"/>
    <w:basedOn w:val="DefaultParagraphFont"/>
    <w:link w:val="Quote"/>
    <w:uiPriority w:val="59"/>
    <w:rsid w:val="0041250B"/>
    <w:rPr>
      <w:rFonts w:ascii="Verdana" w:hAnsi="Verdana"/>
      <w:i/>
      <w:iCs/>
      <w:color w:val="000000" w:themeColor="text1"/>
      <w:sz w:val="18"/>
    </w:rPr>
  </w:style>
  <w:style w:type="paragraph" w:styleId="IntenseQuote">
    <w:name w:val="Intense Quote"/>
    <w:basedOn w:val="Normal"/>
    <w:next w:val="Normal"/>
    <w:link w:val="IntenseQuoteChar"/>
    <w:uiPriority w:val="59"/>
    <w:unhideWhenUsed/>
    <w:qFormat/>
    <w:rsid w:val="0041250B"/>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59"/>
    <w:rsid w:val="0041250B"/>
    <w:rPr>
      <w:rFonts w:ascii="Verdana" w:hAnsi="Verdana"/>
      <w:b/>
      <w:bCs/>
      <w:i/>
      <w:iCs/>
      <w:color w:val="4472C4" w:themeColor="accent1"/>
      <w:sz w:val="18"/>
    </w:rPr>
  </w:style>
  <w:style w:type="character" w:styleId="HTMLCite">
    <w:name w:val="HTML Cite"/>
    <w:basedOn w:val="DefaultParagraphFont"/>
    <w:uiPriority w:val="99"/>
    <w:semiHidden/>
    <w:unhideWhenUsed/>
    <w:rsid w:val="0041250B"/>
    <w:rPr>
      <w:i/>
      <w:iCs/>
    </w:rPr>
  </w:style>
  <w:style w:type="character" w:styleId="HTMLCode">
    <w:name w:val="HTML Code"/>
    <w:basedOn w:val="DefaultParagraphFont"/>
    <w:uiPriority w:val="99"/>
    <w:semiHidden/>
    <w:unhideWhenUsed/>
    <w:rsid w:val="0041250B"/>
    <w:rPr>
      <w:rFonts w:ascii="Consolas" w:hAnsi="Consolas" w:cs="Consolas"/>
      <w:sz w:val="20"/>
      <w:szCs w:val="20"/>
    </w:rPr>
  </w:style>
  <w:style w:type="paragraph" w:styleId="ListContinue">
    <w:name w:val="List Continue"/>
    <w:basedOn w:val="Normal"/>
    <w:uiPriority w:val="99"/>
    <w:semiHidden/>
    <w:unhideWhenUsed/>
    <w:rsid w:val="0041250B"/>
    <w:pPr>
      <w:spacing w:after="120"/>
      <w:ind w:left="283"/>
      <w:contextualSpacing/>
    </w:pPr>
  </w:style>
  <w:style w:type="paragraph" w:styleId="ListContinue2">
    <w:name w:val="List Continue 2"/>
    <w:basedOn w:val="Normal"/>
    <w:uiPriority w:val="99"/>
    <w:semiHidden/>
    <w:unhideWhenUsed/>
    <w:rsid w:val="0041250B"/>
    <w:pPr>
      <w:spacing w:after="120"/>
      <w:ind w:left="566"/>
      <w:contextualSpacing/>
    </w:pPr>
  </w:style>
  <w:style w:type="paragraph" w:styleId="ListContinue3">
    <w:name w:val="List Continue 3"/>
    <w:basedOn w:val="Normal"/>
    <w:uiPriority w:val="99"/>
    <w:semiHidden/>
    <w:unhideWhenUsed/>
    <w:rsid w:val="0041250B"/>
    <w:pPr>
      <w:spacing w:after="120"/>
      <w:ind w:left="849"/>
      <w:contextualSpacing/>
    </w:pPr>
  </w:style>
  <w:style w:type="paragraph" w:styleId="ListContinue4">
    <w:name w:val="List Continue 4"/>
    <w:basedOn w:val="Normal"/>
    <w:uiPriority w:val="99"/>
    <w:semiHidden/>
    <w:unhideWhenUsed/>
    <w:rsid w:val="0041250B"/>
    <w:pPr>
      <w:spacing w:after="120"/>
      <w:ind w:left="1132"/>
      <w:contextualSpacing/>
    </w:pPr>
  </w:style>
  <w:style w:type="paragraph" w:styleId="ListContinue5">
    <w:name w:val="List Continue 5"/>
    <w:basedOn w:val="Normal"/>
    <w:uiPriority w:val="99"/>
    <w:semiHidden/>
    <w:unhideWhenUsed/>
    <w:rsid w:val="0041250B"/>
    <w:pPr>
      <w:spacing w:after="120"/>
      <w:ind w:left="1415"/>
      <w:contextualSpacing/>
    </w:pPr>
  </w:style>
  <w:style w:type="character" w:styleId="HTMLDefinition">
    <w:name w:val="HTML Definition"/>
    <w:basedOn w:val="DefaultParagraphFont"/>
    <w:uiPriority w:val="99"/>
    <w:semiHidden/>
    <w:unhideWhenUsed/>
    <w:rsid w:val="0041250B"/>
    <w:rPr>
      <w:i/>
      <w:iCs/>
    </w:rPr>
  </w:style>
  <w:style w:type="paragraph" w:styleId="Caption">
    <w:name w:val="caption"/>
    <w:basedOn w:val="Normal"/>
    <w:next w:val="Normal"/>
    <w:uiPriority w:val="6"/>
    <w:qFormat/>
    <w:rsid w:val="0041250B"/>
    <w:pPr>
      <w:keepNext/>
      <w:spacing w:before="120" w:after="120"/>
      <w:jc w:val="left"/>
    </w:pPr>
    <w:rPr>
      <w:rFonts w:eastAsia="Times New Roman" w:cs="Times New Roman"/>
      <w:b/>
      <w:bCs/>
      <w:color w:val="006283"/>
      <w:szCs w:val="20"/>
      <w:lang w:eastAsia="en-GB"/>
    </w:rPr>
  </w:style>
  <w:style w:type="paragraph" w:styleId="HTMLAddress">
    <w:name w:val="HTML Address"/>
    <w:basedOn w:val="Normal"/>
    <w:link w:val="HTMLAddressChar"/>
    <w:uiPriority w:val="99"/>
    <w:semiHidden/>
    <w:unhideWhenUsed/>
    <w:rsid w:val="0041250B"/>
    <w:rPr>
      <w:i/>
      <w:iCs/>
    </w:rPr>
  </w:style>
  <w:style w:type="character" w:customStyle="1" w:styleId="HTMLAddressChar">
    <w:name w:val="HTML Address Char"/>
    <w:basedOn w:val="DefaultParagraphFont"/>
    <w:link w:val="HTMLAddress"/>
    <w:uiPriority w:val="99"/>
    <w:semiHidden/>
    <w:rsid w:val="0041250B"/>
    <w:rPr>
      <w:rFonts w:ascii="Verdana" w:hAnsi="Verdana"/>
      <w:i/>
      <w:iCs/>
      <w:sz w:val="18"/>
    </w:rPr>
  </w:style>
  <w:style w:type="paragraph" w:styleId="EnvelopeAddress">
    <w:name w:val="envelope address"/>
    <w:basedOn w:val="Normal"/>
    <w:uiPriority w:val="99"/>
    <w:semiHidden/>
    <w:unhideWhenUsed/>
    <w:rsid w:val="0041250B"/>
    <w:pPr>
      <w:framePr w:w="7920" w:h="1980" w:hRule="exact" w:hSpace="180" w:wrap="auto" w:hAnchor="page" w:xAlign="center" w:yAlign="bottom"/>
      <w:ind w:left="2880"/>
    </w:pPr>
    <w:rPr>
      <w:rFonts w:asciiTheme="majorHAnsi" w:eastAsiaTheme="majorEastAsia" w:hAnsiTheme="majorHAnsi" w:cstheme="majorBidi"/>
      <w:sz w:val="24"/>
      <w:szCs w:val="24"/>
    </w:rPr>
  </w:style>
  <w:style w:type="character" w:styleId="HTMLSample">
    <w:name w:val="HTML Sample"/>
    <w:basedOn w:val="DefaultParagraphFont"/>
    <w:uiPriority w:val="99"/>
    <w:semiHidden/>
    <w:unhideWhenUsed/>
    <w:rsid w:val="0041250B"/>
    <w:rPr>
      <w:rFonts w:ascii="Consolas" w:hAnsi="Consolas" w:cs="Consolas"/>
      <w:sz w:val="24"/>
      <w:szCs w:val="24"/>
    </w:rPr>
  </w:style>
  <w:style w:type="paragraph" w:styleId="Header">
    <w:name w:val="header"/>
    <w:basedOn w:val="Normal"/>
    <w:link w:val="HeaderChar"/>
    <w:uiPriority w:val="3"/>
    <w:rsid w:val="0041250B"/>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3"/>
    <w:rsid w:val="0041250B"/>
    <w:rPr>
      <w:rFonts w:ascii="Verdana" w:eastAsia="Calibri" w:hAnsi="Verdana" w:cs="Times New Roman"/>
      <w:sz w:val="18"/>
      <w:szCs w:val="18"/>
      <w:lang w:eastAsia="en-GB"/>
    </w:rPr>
  </w:style>
  <w:style w:type="paragraph" w:styleId="TOAHeading">
    <w:name w:val="toa heading"/>
    <w:basedOn w:val="Normal"/>
    <w:next w:val="Normal"/>
    <w:uiPriority w:val="39"/>
    <w:rsid w:val="0041250B"/>
    <w:pPr>
      <w:spacing w:before="120"/>
    </w:pPr>
    <w:rPr>
      <w:rFonts w:asciiTheme="majorHAnsi" w:eastAsiaTheme="majorEastAsia" w:hAnsiTheme="majorHAnsi" w:cstheme="majorBidi"/>
      <w:b/>
      <w:bCs/>
      <w:sz w:val="24"/>
      <w:szCs w:val="24"/>
    </w:rPr>
  </w:style>
  <w:style w:type="paragraph" w:styleId="MessageHeader">
    <w:name w:val="Message Header"/>
    <w:basedOn w:val="Normal"/>
    <w:link w:val="MessageHeaderChar"/>
    <w:uiPriority w:val="99"/>
    <w:semiHidden/>
    <w:unhideWhenUsed/>
    <w:rsid w:val="0041250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1250B"/>
    <w:rPr>
      <w:rFonts w:asciiTheme="majorHAnsi" w:eastAsiaTheme="majorEastAsia" w:hAnsiTheme="majorHAnsi" w:cstheme="majorBidi"/>
      <w:sz w:val="24"/>
      <w:szCs w:val="24"/>
      <w:shd w:val="pct20" w:color="auto" w:fill="auto"/>
    </w:rPr>
  </w:style>
  <w:style w:type="paragraph" w:styleId="NoteHeading">
    <w:name w:val="Note Heading"/>
    <w:basedOn w:val="Normal"/>
    <w:next w:val="Normal"/>
    <w:link w:val="NoteHeadingChar"/>
    <w:uiPriority w:val="99"/>
    <w:semiHidden/>
    <w:unhideWhenUsed/>
    <w:rsid w:val="0041250B"/>
  </w:style>
  <w:style w:type="character" w:customStyle="1" w:styleId="NoteHeadingChar">
    <w:name w:val="Note Heading Char"/>
    <w:basedOn w:val="DefaultParagraphFont"/>
    <w:link w:val="NoteHeading"/>
    <w:uiPriority w:val="99"/>
    <w:semiHidden/>
    <w:rsid w:val="0041250B"/>
    <w:rPr>
      <w:rFonts w:ascii="Verdana" w:hAnsi="Verdana"/>
      <w:sz w:val="18"/>
    </w:rPr>
  </w:style>
  <w:style w:type="character" w:styleId="Emphasis">
    <w:name w:val="Emphasis"/>
    <w:basedOn w:val="DefaultParagraphFont"/>
    <w:uiPriority w:val="99"/>
    <w:unhideWhenUsed/>
    <w:qFormat/>
    <w:rsid w:val="0041250B"/>
    <w:rPr>
      <w:i/>
      <w:iCs/>
    </w:rPr>
  </w:style>
  <w:style w:type="character" w:styleId="IntenseEmphasis">
    <w:name w:val="Intense Emphasis"/>
    <w:basedOn w:val="DefaultParagraphFont"/>
    <w:uiPriority w:val="99"/>
    <w:unhideWhenUsed/>
    <w:qFormat/>
    <w:rsid w:val="0041250B"/>
    <w:rPr>
      <w:b/>
      <w:bCs/>
      <w:i/>
      <w:iCs/>
      <w:color w:val="4472C4" w:themeColor="accent1"/>
    </w:rPr>
  </w:style>
  <w:style w:type="character" w:styleId="SubtleEmphasis">
    <w:name w:val="Subtle Emphasis"/>
    <w:basedOn w:val="DefaultParagraphFont"/>
    <w:uiPriority w:val="99"/>
    <w:unhideWhenUsed/>
    <w:qFormat/>
    <w:rsid w:val="0041250B"/>
    <w:rPr>
      <w:i/>
      <w:iCs/>
      <w:color w:val="808080" w:themeColor="text1" w:themeTint="7F"/>
    </w:rPr>
  </w:style>
  <w:style w:type="paragraph" w:styleId="Date">
    <w:name w:val="Date"/>
    <w:basedOn w:val="Normal"/>
    <w:next w:val="Normal"/>
    <w:link w:val="DateChar"/>
    <w:uiPriority w:val="99"/>
    <w:semiHidden/>
    <w:unhideWhenUsed/>
    <w:rsid w:val="0041250B"/>
  </w:style>
  <w:style w:type="character" w:customStyle="1" w:styleId="DateChar">
    <w:name w:val="Date Char"/>
    <w:basedOn w:val="DefaultParagraphFont"/>
    <w:link w:val="Date"/>
    <w:uiPriority w:val="99"/>
    <w:semiHidden/>
    <w:rsid w:val="0041250B"/>
    <w:rPr>
      <w:rFonts w:ascii="Verdana" w:hAnsi="Verdana"/>
      <w:sz w:val="18"/>
    </w:rPr>
  </w:style>
  <w:style w:type="paragraph" w:styleId="Signature">
    <w:name w:val="Signature"/>
    <w:basedOn w:val="Normal"/>
    <w:link w:val="SignatureChar"/>
    <w:uiPriority w:val="99"/>
    <w:semiHidden/>
    <w:unhideWhenUsed/>
    <w:rsid w:val="0041250B"/>
    <w:pPr>
      <w:ind w:left="4252"/>
    </w:pPr>
  </w:style>
  <w:style w:type="character" w:customStyle="1" w:styleId="SignatureChar">
    <w:name w:val="Signature Char"/>
    <w:basedOn w:val="DefaultParagraphFont"/>
    <w:link w:val="Signature"/>
    <w:uiPriority w:val="99"/>
    <w:semiHidden/>
    <w:rsid w:val="0041250B"/>
    <w:rPr>
      <w:rFonts w:ascii="Verdana" w:hAnsi="Verdana"/>
      <w:sz w:val="18"/>
    </w:rPr>
  </w:style>
  <w:style w:type="paragraph" w:styleId="E-mailSignature">
    <w:name w:val="E-mail Signature"/>
    <w:basedOn w:val="Normal"/>
    <w:link w:val="E-mailSignatureChar"/>
    <w:uiPriority w:val="99"/>
    <w:semiHidden/>
    <w:unhideWhenUsed/>
    <w:rsid w:val="0041250B"/>
  </w:style>
  <w:style w:type="character" w:customStyle="1" w:styleId="E-mailSignatureChar">
    <w:name w:val="E-mail Signature Char"/>
    <w:basedOn w:val="DefaultParagraphFont"/>
    <w:link w:val="E-mailSignature"/>
    <w:uiPriority w:val="99"/>
    <w:semiHidden/>
    <w:rsid w:val="0041250B"/>
    <w:rPr>
      <w:rFonts w:ascii="Verdana" w:hAnsi="Verdana"/>
      <w:sz w:val="18"/>
    </w:rPr>
  </w:style>
  <w:style w:type="paragraph" w:customStyle="1" w:styleId="FollowUp">
    <w:name w:val="FollowUp"/>
    <w:basedOn w:val="Normal"/>
    <w:link w:val="FollowUpChar"/>
    <w:uiPriority w:val="6"/>
    <w:qFormat/>
    <w:rsid w:val="0041250B"/>
    <w:pPr>
      <w:spacing w:after="240"/>
      <w:ind w:left="720"/>
    </w:pPr>
    <w:rPr>
      <w:rFonts w:eastAsia="Calibri" w:cs="Times New Roman"/>
      <w:i/>
    </w:rPr>
  </w:style>
  <w:style w:type="character" w:customStyle="1" w:styleId="FollowUpChar">
    <w:name w:val="FollowUp Char"/>
    <w:link w:val="FollowUp"/>
    <w:uiPriority w:val="6"/>
    <w:rsid w:val="0041250B"/>
    <w:rPr>
      <w:rFonts w:ascii="Verdana" w:eastAsia="Calibri" w:hAnsi="Verdana" w:cs="Times New Roman"/>
      <w:i/>
      <w:sz w:val="18"/>
    </w:rPr>
  </w:style>
  <w:style w:type="paragraph" w:styleId="FootnoteText">
    <w:name w:val="footnote text"/>
    <w:basedOn w:val="Normal"/>
    <w:link w:val="FootnoteTextChar"/>
    <w:uiPriority w:val="5"/>
    <w:rsid w:val="0041250B"/>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41250B"/>
    <w:rPr>
      <w:rFonts w:ascii="Verdana" w:eastAsia="Calibri" w:hAnsi="Verdana" w:cs="Times New Roman"/>
      <w:sz w:val="16"/>
      <w:szCs w:val="18"/>
      <w:lang w:eastAsia="en-GB"/>
    </w:rPr>
  </w:style>
  <w:style w:type="paragraph" w:customStyle="1" w:styleId="FootnoteQuotation">
    <w:name w:val="Footnote Quotation"/>
    <w:basedOn w:val="FootnoteText"/>
    <w:uiPriority w:val="5"/>
    <w:rsid w:val="0041250B"/>
    <w:pPr>
      <w:ind w:left="567" w:right="567" w:firstLine="0"/>
    </w:pPr>
  </w:style>
  <w:style w:type="character" w:styleId="Hyperlink">
    <w:name w:val="Hyperlink"/>
    <w:basedOn w:val="DefaultParagraphFont"/>
    <w:uiPriority w:val="9"/>
    <w:unhideWhenUsed/>
    <w:rsid w:val="0041250B"/>
    <w:rPr>
      <w:color w:val="0563C1" w:themeColor="hyperlink"/>
      <w:u w:val="single"/>
    </w:rPr>
  </w:style>
  <w:style w:type="character" w:styleId="FollowedHyperlink">
    <w:name w:val="FollowedHyperlink"/>
    <w:basedOn w:val="DefaultParagraphFont"/>
    <w:uiPriority w:val="9"/>
    <w:unhideWhenUsed/>
    <w:rsid w:val="0041250B"/>
    <w:rPr>
      <w:color w:val="954F72" w:themeColor="followedHyperlink"/>
      <w:u w:val="single"/>
    </w:rPr>
  </w:style>
  <w:style w:type="paragraph" w:styleId="HTMLPreformatted">
    <w:name w:val="HTML Preformatted"/>
    <w:basedOn w:val="Normal"/>
    <w:link w:val="HTMLPreformattedChar"/>
    <w:uiPriority w:val="99"/>
    <w:semiHidden/>
    <w:unhideWhenUsed/>
    <w:rsid w:val="0041250B"/>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41250B"/>
    <w:rPr>
      <w:rFonts w:ascii="Consolas" w:hAnsi="Consolas" w:cs="Consolas"/>
      <w:sz w:val="20"/>
      <w:szCs w:val="20"/>
    </w:rPr>
  </w:style>
  <w:style w:type="paragraph" w:styleId="Index1">
    <w:name w:val="index 1"/>
    <w:basedOn w:val="Normal"/>
    <w:next w:val="Normal"/>
    <w:autoRedefine/>
    <w:uiPriority w:val="99"/>
    <w:semiHidden/>
    <w:unhideWhenUsed/>
    <w:rsid w:val="0041250B"/>
    <w:pPr>
      <w:ind w:left="180" w:hanging="180"/>
    </w:pPr>
  </w:style>
  <w:style w:type="paragraph" w:styleId="Index2">
    <w:name w:val="index 2"/>
    <w:basedOn w:val="Normal"/>
    <w:next w:val="Normal"/>
    <w:autoRedefine/>
    <w:uiPriority w:val="99"/>
    <w:semiHidden/>
    <w:unhideWhenUsed/>
    <w:rsid w:val="0041250B"/>
    <w:pPr>
      <w:ind w:left="360" w:hanging="180"/>
    </w:pPr>
  </w:style>
  <w:style w:type="paragraph" w:styleId="Index3">
    <w:name w:val="index 3"/>
    <w:basedOn w:val="Normal"/>
    <w:next w:val="Normal"/>
    <w:autoRedefine/>
    <w:uiPriority w:val="99"/>
    <w:semiHidden/>
    <w:unhideWhenUsed/>
    <w:rsid w:val="0041250B"/>
    <w:pPr>
      <w:ind w:left="540" w:hanging="180"/>
    </w:pPr>
  </w:style>
  <w:style w:type="paragraph" w:styleId="Index4">
    <w:name w:val="index 4"/>
    <w:basedOn w:val="Normal"/>
    <w:next w:val="Normal"/>
    <w:autoRedefine/>
    <w:uiPriority w:val="99"/>
    <w:semiHidden/>
    <w:unhideWhenUsed/>
    <w:rsid w:val="0041250B"/>
    <w:pPr>
      <w:ind w:left="720" w:hanging="180"/>
    </w:pPr>
  </w:style>
  <w:style w:type="paragraph" w:styleId="Index5">
    <w:name w:val="index 5"/>
    <w:basedOn w:val="Normal"/>
    <w:next w:val="Normal"/>
    <w:autoRedefine/>
    <w:uiPriority w:val="99"/>
    <w:semiHidden/>
    <w:unhideWhenUsed/>
    <w:rsid w:val="0041250B"/>
    <w:pPr>
      <w:ind w:left="900" w:hanging="180"/>
    </w:pPr>
  </w:style>
  <w:style w:type="paragraph" w:styleId="Index6">
    <w:name w:val="index 6"/>
    <w:basedOn w:val="Normal"/>
    <w:next w:val="Normal"/>
    <w:autoRedefine/>
    <w:uiPriority w:val="99"/>
    <w:semiHidden/>
    <w:unhideWhenUsed/>
    <w:rsid w:val="0041250B"/>
    <w:pPr>
      <w:ind w:left="1080" w:hanging="180"/>
    </w:pPr>
  </w:style>
  <w:style w:type="paragraph" w:styleId="Index7">
    <w:name w:val="index 7"/>
    <w:basedOn w:val="Normal"/>
    <w:next w:val="Normal"/>
    <w:autoRedefine/>
    <w:uiPriority w:val="99"/>
    <w:semiHidden/>
    <w:unhideWhenUsed/>
    <w:rsid w:val="0041250B"/>
    <w:pPr>
      <w:ind w:left="1260" w:hanging="180"/>
    </w:pPr>
  </w:style>
  <w:style w:type="paragraph" w:styleId="Index8">
    <w:name w:val="index 8"/>
    <w:basedOn w:val="Normal"/>
    <w:next w:val="Normal"/>
    <w:autoRedefine/>
    <w:uiPriority w:val="99"/>
    <w:semiHidden/>
    <w:unhideWhenUsed/>
    <w:rsid w:val="0041250B"/>
    <w:pPr>
      <w:ind w:left="1440" w:hanging="180"/>
    </w:pPr>
  </w:style>
  <w:style w:type="paragraph" w:styleId="Index9">
    <w:name w:val="index 9"/>
    <w:basedOn w:val="Normal"/>
    <w:next w:val="Normal"/>
    <w:autoRedefine/>
    <w:uiPriority w:val="99"/>
    <w:semiHidden/>
    <w:unhideWhenUsed/>
    <w:rsid w:val="0041250B"/>
    <w:pPr>
      <w:ind w:left="1620" w:hanging="180"/>
    </w:pPr>
  </w:style>
  <w:style w:type="numbering" w:customStyle="1" w:styleId="LegalHeadings">
    <w:name w:val="LegalHeadings"/>
    <w:uiPriority w:val="99"/>
    <w:rsid w:val="00503D18"/>
    <w:pPr>
      <w:numPr>
        <w:numId w:val="1"/>
      </w:numPr>
    </w:pPr>
  </w:style>
  <w:style w:type="paragraph" w:styleId="List">
    <w:name w:val="List"/>
    <w:basedOn w:val="Normal"/>
    <w:uiPriority w:val="99"/>
    <w:semiHidden/>
    <w:unhideWhenUsed/>
    <w:rsid w:val="0041250B"/>
    <w:pPr>
      <w:ind w:left="283" w:hanging="283"/>
      <w:contextualSpacing/>
    </w:pPr>
  </w:style>
  <w:style w:type="paragraph" w:styleId="List2">
    <w:name w:val="List 2"/>
    <w:basedOn w:val="Normal"/>
    <w:uiPriority w:val="99"/>
    <w:semiHidden/>
    <w:unhideWhenUsed/>
    <w:rsid w:val="0041250B"/>
    <w:pPr>
      <w:ind w:left="566" w:hanging="283"/>
      <w:contextualSpacing/>
    </w:pPr>
  </w:style>
  <w:style w:type="paragraph" w:styleId="List3">
    <w:name w:val="List 3"/>
    <w:basedOn w:val="Normal"/>
    <w:uiPriority w:val="99"/>
    <w:semiHidden/>
    <w:unhideWhenUsed/>
    <w:rsid w:val="0041250B"/>
    <w:pPr>
      <w:ind w:left="849" w:hanging="283"/>
      <w:contextualSpacing/>
    </w:pPr>
  </w:style>
  <w:style w:type="paragraph" w:styleId="List4">
    <w:name w:val="List 4"/>
    <w:basedOn w:val="Normal"/>
    <w:uiPriority w:val="99"/>
    <w:semiHidden/>
    <w:unhideWhenUsed/>
    <w:rsid w:val="0041250B"/>
    <w:pPr>
      <w:ind w:left="1132" w:hanging="283"/>
      <w:contextualSpacing/>
    </w:pPr>
  </w:style>
  <w:style w:type="paragraph" w:styleId="List5">
    <w:name w:val="List 5"/>
    <w:basedOn w:val="Normal"/>
    <w:uiPriority w:val="99"/>
    <w:semiHidden/>
    <w:unhideWhenUsed/>
    <w:rsid w:val="0041250B"/>
    <w:pPr>
      <w:ind w:left="1415" w:hanging="283"/>
      <w:contextualSpacing/>
    </w:pPr>
  </w:style>
  <w:style w:type="paragraph" w:styleId="ListNumber">
    <w:name w:val="List Number"/>
    <w:basedOn w:val="Normal"/>
    <w:uiPriority w:val="49"/>
    <w:semiHidden/>
    <w:rsid w:val="0041250B"/>
    <w:pPr>
      <w:numPr>
        <w:numId w:val="3"/>
      </w:numPr>
      <w:contextualSpacing/>
    </w:pPr>
  </w:style>
  <w:style w:type="paragraph" w:styleId="ListNumber2">
    <w:name w:val="List Number 2"/>
    <w:basedOn w:val="Normal"/>
    <w:uiPriority w:val="49"/>
    <w:semiHidden/>
    <w:rsid w:val="0041250B"/>
    <w:pPr>
      <w:numPr>
        <w:numId w:val="5"/>
      </w:numPr>
      <w:contextualSpacing/>
    </w:pPr>
  </w:style>
  <w:style w:type="paragraph" w:styleId="ListNumber3">
    <w:name w:val="List Number 3"/>
    <w:basedOn w:val="Normal"/>
    <w:uiPriority w:val="49"/>
    <w:semiHidden/>
    <w:rsid w:val="0041250B"/>
    <w:pPr>
      <w:numPr>
        <w:numId w:val="7"/>
      </w:numPr>
      <w:contextualSpacing/>
    </w:pPr>
  </w:style>
  <w:style w:type="paragraph" w:styleId="ListNumber4">
    <w:name w:val="List Number 4"/>
    <w:basedOn w:val="Normal"/>
    <w:uiPriority w:val="49"/>
    <w:semiHidden/>
    <w:rsid w:val="0041250B"/>
    <w:pPr>
      <w:numPr>
        <w:numId w:val="9"/>
      </w:numPr>
      <w:contextualSpacing/>
    </w:pPr>
  </w:style>
  <w:style w:type="paragraph" w:styleId="ListNumber5">
    <w:name w:val="List Number 5"/>
    <w:basedOn w:val="Normal"/>
    <w:uiPriority w:val="49"/>
    <w:semiHidden/>
    <w:rsid w:val="0041250B"/>
    <w:pPr>
      <w:numPr>
        <w:numId w:val="11"/>
      </w:numPr>
      <w:contextualSpacing/>
    </w:pPr>
  </w:style>
  <w:style w:type="paragraph" w:styleId="ListBullet">
    <w:name w:val="List Bullet"/>
    <w:basedOn w:val="Normal"/>
    <w:uiPriority w:val="1"/>
    <w:rsid w:val="00A10038"/>
    <w:pPr>
      <w:numPr>
        <w:numId w:val="13"/>
      </w:numPr>
      <w:spacing w:after="240"/>
    </w:pPr>
  </w:style>
  <w:style w:type="paragraph" w:styleId="ListBullet2">
    <w:name w:val="List Bullet 2"/>
    <w:basedOn w:val="Normal"/>
    <w:uiPriority w:val="1"/>
    <w:rsid w:val="00A10038"/>
    <w:pPr>
      <w:numPr>
        <w:ilvl w:val="1"/>
        <w:numId w:val="13"/>
      </w:numPr>
      <w:tabs>
        <w:tab w:val="left" w:pos="1134"/>
      </w:tabs>
      <w:spacing w:after="240"/>
    </w:pPr>
  </w:style>
  <w:style w:type="paragraph" w:styleId="ListBullet3">
    <w:name w:val="List Bullet 3"/>
    <w:basedOn w:val="Normal"/>
    <w:uiPriority w:val="1"/>
    <w:rsid w:val="00A10038"/>
    <w:pPr>
      <w:numPr>
        <w:ilvl w:val="2"/>
        <w:numId w:val="13"/>
      </w:numPr>
      <w:tabs>
        <w:tab w:val="left" w:pos="1701"/>
      </w:tabs>
      <w:spacing w:after="240"/>
    </w:pPr>
  </w:style>
  <w:style w:type="paragraph" w:styleId="ListBullet4">
    <w:name w:val="List Bullet 4"/>
    <w:basedOn w:val="Normal"/>
    <w:uiPriority w:val="1"/>
    <w:rsid w:val="00A10038"/>
    <w:pPr>
      <w:numPr>
        <w:ilvl w:val="3"/>
        <w:numId w:val="13"/>
      </w:numPr>
      <w:spacing w:after="240"/>
    </w:pPr>
  </w:style>
  <w:style w:type="paragraph" w:styleId="ListBullet5">
    <w:name w:val="List Bullet 5"/>
    <w:basedOn w:val="Normal"/>
    <w:uiPriority w:val="1"/>
    <w:rsid w:val="00A10038"/>
    <w:pPr>
      <w:numPr>
        <w:ilvl w:val="4"/>
        <w:numId w:val="13"/>
      </w:numPr>
      <w:spacing w:after="240"/>
    </w:pPr>
  </w:style>
  <w:style w:type="numbering" w:customStyle="1" w:styleId="ListBullets">
    <w:name w:val="ListBullets"/>
    <w:uiPriority w:val="99"/>
    <w:rsid w:val="00A10038"/>
    <w:pPr>
      <w:numPr>
        <w:numId w:val="13"/>
      </w:numPr>
    </w:pPr>
  </w:style>
  <w:style w:type="paragraph" w:styleId="DocumentMap">
    <w:name w:val="Document Map"/>
    <w:basedOn w:val="Normal"/>
    <w:link w:val="DocumentMapChar"/>
    <w:uiPriority w:val="99"/>
    <w:semiHidden/>
    <w:unhideWhenUsed/>
    <w:rsid w:val="0041250B"/>
    <w:rPr>
      <w:rFonts w:ascii="Tahoma" w:hAnsi="Tahoma" w:cs="Tahoma"/>
      <w:sz w:val="16"/>
      <w:szCs w:val="16"/>
    </w:rPr>
  </w:style>
  <w:style w:type="character" w:customStyle="1" w:styleId="DocumentMapChar">
    <w:name w:val="Document Map Char"/>
    <w:basedOn w:val="DefaultParagraphFont"/>
    <w:link w:val="DocumentMap"/>
    <w:uiPriority w:val="99"/>
    <w:semiHidden/>
    <w:rsid w:val="0041250B"/>
    <w:rPr>
      <w:rFonts w:ascii="Tahoma" w:hAnsi="Tahoma" w:cs="Tahoma"/>
      <w:sz w:val="16"/>
      <w:szCs w:val="16"/>
    </w:rPr>
  </w:style>
  <w:style w:type="character" w:styleId="HTMLTypewriter">
    <w:name w:val="HTML Typewriter"/>
    <w:basedOn w:val="DefaultParagraphFont"/>
    <w:uiPriority w:val="99"/>
    <w:semiHidden/>
    <w:unhideWhenUsed/>
    <w:rsid w:val="0041250B"/>
    <w:rPr>
      <w:rFonts w:ascii="Consolas" w:hAnsi="Consolas" w:cs="Consolas"/>
      <w:sz w:val="20"/>
      <w:szCs w:val="20"/>
    </w:rPr>
  </w:style>
  <w:style w:type="paragraph" w:styleId="NormalWeb">
    <w:name w:val="Normal (Web)"/>
    <w:basedOn w:val="Normal"/>
    <w:uiPriority w:val="99"/>
    <w:semiHidden/>
    <w:unhideWhenUsed/>
    <w:rsid w:val="0041250B"/>
    <w:rPr>
      <w:rFonts w:ascii="Times New Roman" w:hAnsi="Times New Roman" w:cs="Times New Roman"/>
      <w:sz w:val="24"/>
      <w:szCs w:val="24"/>
    </w:rPr>
  </w:style>
  <w:style w:type="paragraph" w:customStyle="1" w:styleId="NoteText">
    <w:name w:val="Note Text"/>
    <w:basedOn w:val="Normal"/>
    <w:uiPriority w:val="4"/>
    <w:qFormat/>
    <w:rsid w:val="0041250B"/>
    <w:pPr>
      <w:tabs>
        <w:tab w:val="left" w:pos="851"/>
      </w:tabs>
      <w:ind w:left="851" w:hanging="851"/>
      <w:jc w:val="left"/>
    </w:pPr>
    <w:rPr>
      <w:sz w:val="16"/>
    </w:rPr>
  </w:style>
  <w:style w:type="character" w:styleId="LineNumber">
    <w:name w:val="line number"/>
    <w:basedOn w:val="DefaultParagraphFont"/>
    <w:uiPriority w:val="99"/>
    <w:semiHidden/>
    <w:unhideWhenUsed/>
    <w:rsid w:val="0041250B"/>
  </w:style>
  <w:style w:type="character" w:styleId="PageNumber">
    <w:name w:val="page number"/>
    <w:basedOn w:val="DefaultParagraphFont"/>
    <w:uiPriority w:val="99"/>
    <w:semiHidden/>
    <w:unhideWhenUsed/>
    <w:rsid w:val="0041250B"/>
  </w:style>
  <w:style w:type="paragraph" w:styleId="ListParagraph">
    <w:name w:val="List Paragraph"/>
    <w:basedOn w:val="Normal"/>
    <w:uiPriority w:val="59"/>
    <w:qFormat/>
    <w:rsid w:val="0041250B"/>
    <w:pPr>
      <w:ind w:left="720"/>
      <w:contextualSpacing/>
    </w:pPr>
  </w:style>
  <w:style w:type="paragraph" w:styleId="Footer">
    <w:name w:val="footer"/>
    <w:basedOn w:val="Normal"/>
    <w:link w:val="FooterChar"/>
    <w:uiPriority w:val="3"/>
    <w:rsid w:val="0041250B"/>
    <w:pPr>
      <w:tabs>
        <w:tab w:val="center" w:pos="4513"/>
        <w:tab w:val="right" w:pos="9027"/>
      </w:tabs>
    </w:pPr>
    <w:rPr>
      <w:rFonts w:eastAsia="Calibri" w:cs="Times New Roman"/>
      <w:szCs w:val="18"/>
      <w:lang w:eastAsia="en-GB"/>
    </w:rPr>
  </w:style>
  <w:style w:type="character" w:customStyle="1" w:styleId="FooterChar">
    <w:name w:val="Footer Char"/>
    <w:link w:val="Footer"/>
    <w:uiPriority w:val="3"/>
    <w:rsid w:val="0041250B"/>
    <w:rPr>
      <w:rFonts w:ascii="Verdana" w:eastAsia="Calibri" w:hAnsi="Verdana" w:cs="Times New Roman"/>
      <w:sz w:val="18"/>
      <w:szCs w:val="18"/>
      <w:lang w:eastAsia="en-GB"/>
    </w:rPr>
  </w:style>
  <w:style w:type="paragraph" w:customStyle="1" w:styleId="Quotation">
    <w:name w:val="Quotation"/>
    <w:basedOn w:val="Normal"/>
    <w:uiPriority w:val="5"/>
    <w:qFormat/>
    <w:rsid w:val="0041250B"/>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41250B"/>
    <w:pPr>
      <w:spacing w:after="240"/>
      <w:ind w:left="1134" w:right="1134"/>
    </w:pPr>
    <w:rPr>
      <w:rFonts w:eastAsia="Calibri" w:cs="Times New Roman"/>
      <w:szCs w:val="18"/>
      <w:lang w:eastAsia="en-GB"/>
    </w:rPr>
  </w:style>
  <w:style w:type="character" w:styleId="CommentReference">
    <w:name w:val="annotation reference"/>
    <w:basedOn w:val="DefaultParagraphFont"/>
    <w:uiPriority w:val="99"/>
    <w:semiHidden/>
    <w:unhideWhenUsed/>
    <w:rsid w:val="0041250B"/>
    <w:rPr>
      <w:sz w:val="16"/>
      <w:szCs w:val="16"/>
    </w:rPr>
  </w:style>
  <w:style w:type="character" w:styleId="EndnoteReference">
    <w:name w:val="endnote reference"/>
    <w:uiPriority w:val="49"/>
    <w:rsid w:val="0041250B"/>
    <w:rPr>
      <w:vertAlign w:val="superscript"/>
    </w:rPr>
  </w:style>
  <w:style w:type="character" w:styleId="FootnoteReference">
    <w:name w:val="footnote reference"/>
    <w:rsid w:val="0041250B"/>
    <w:rPr>
      <w:vertAlign w:val="superscript"/>
    </w:rPr>
  </w:style>
  <w:style w:type="character" w:styleId="IntenseReference">
    <w:name w:val="Intense Reference"/>
    <w:basedOn w:val="DefaultParagraphFont"/>
    <w:uiPriority w:val="99"/>
    <w:unhideWhenUsed/>
    <w:qFormat/>
    <w:rsid w:val="0041250B"/>
    <w:rPr>
      <w:b/>
      <w:bCs/>
      <w:smallCaps/>
      <w:color w:val="ED7D31" w:themeColor="accent2"/>
      <w:spacing w:val="5"/>
      <w:u w:val="single"/>
    </w:rPr>
  </w:style>
  <w:style w:type="character" w:styleId="SubtleReference">
    <w:name w:val="Subtle Reference"/>
    <w:basedOn w:val="DefaultParagraphFont"/>
    <w:uiPriority w:val="99"/>
    <w:unhideWhenUsed/>
    <w:qFormat/>
    <w:rsid w:val="0041250B"/>
    <w:rPr>
      <w:smallCaps/>
      <w:color w:val="ED7D31" w:themeColor="accent2"/>
      <w:u w:val="single"/>
    </w:rPr>
  </w:style>
  <w:style w:type="paragraph" w:styleId="EnvelopeReturn">
    <w:name w:val="envelope return"/>
    <w:basedOn w:val="Normal"/>
    <w:uiPriority w:val="99"/>
    <w:semiHidden/>
    <w:unhideWhenUsed/>
    <w:rsid w:val="0041250B"/>
    <w:rPr>
      <w:rFonts w:asciiTheme="majorHAnsi" w:eastAsiaTheme="majorEastAsia" w:hAnsiTheme="majorHAnsi" w:cstheme="majorBidi"/>
      <w:sz w:val="20"/>
      <w:szCs w:val="20"/>
    </w:rPr>
  </w:style>
  <w:style w:type="paragraph" w:styleId="Salutation">
    <w:name w:val="Salutation"/>
    <w:basedOn w:val="Normal"/>
    <w:next w:val="Normal"/>
    <w:link w:val="SalutationChar"/>
    <w:uiPriority w:val="99"/>
    <w:semiHidden/>
    <w:unhideWhenUsed/>
    <w:rsid w:val="0041250B"/>
  </w:style>
  <w:style w:type="character" w:customStyle="1" w:styleId="SalutationChar">
    <w:name w:val="Salutation Char"/>
    <w:basedOn w:val="DefaultParagraphFont"/>
    <w:link w:val="Salutation"/>
    <w:uiPriority w:val="99"/>
    <w:semiHidden/>
    <w:rsid w:val="0041250B"/>
    <w:rPr>
      <w:rFonts w:ascii="Verdana" w:hAnsi="Verdana"/>
      <w:sz w:val="18"/>
    </w:rPr>
  </w:style>
  <w:style w:type="paragraph" w:styleId="BodyTextIndent2">
    <w:name w:val="Body Text Indent 2"/>
    <w:basedOn w:val="Normal"/>
    <w:link w:val="BodyTextIndent2Char"/>
    <w:uiPriority w:val="99"/>
    <w:semiHidden/>
    <w:unhideWhenUsed/>
    <w:rsid w:val="0041250B"/>
    <w:pPr>
      <w:spacing w:after="120" w:line="480" w:lineRule="auto"/>
      <w:ind w:left="283"/>
    </w:pPr>
  </w:style>
  <w:style w:type="character" w:customStyle="1" w:styleId="BodyTextIndent2Char">
    <w:name w:val="Body Text Indent 2 Char"/>
    <w:basedOn w:val="DefaultParagraphFont"/>
    <w:link w:val="BodyTextIndent2"/>
    <w:uiPriority w:val="99"/>
    <w:semiHidden/>
    <w:rsid w:val="0041250B"/>
    <w:rPr>
      <w:rFonts w:ascii="Verdana" w:hAnsi="Verdana"/>
      <w:sz w:val="18"/>
    </w:rPr>
  </w:style>
  <w:style w:type="paragraph" w:styleId="BodyTextIndent3">
    <w:name w:val="Body Text Indent 3"/>
    <w:basedOn w:val="Normal"/>
    <w:link w:val="BodyTextIndent3Char"/>
    <w:uiPriority w:val="99"/>
    <w:semiHidden/>
    <w:unhideWhenUsed/>
    <w:rsid w:val="0041250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1250B"/>
    <w:rPr>
      <w:rFonts w:ascii="Verdana" w:hAnsi="Verdana"/>
      <w:sz w:val="16"/>
      <w:szCs w:val="16"/>
    </w:rPr>
  </w:style>
  <w:style w:type="paragraph" w:styleId="BodyTextIndent">
    <w:name w:val="Body Text Indent"/>
    <w:basedOn w:val="Normal"/>
    <w:link w:val="BodyTextIndentChar"/>
    <w:uiPriority w:val="99"/>
    <w:semiHidden/>
    <w:unhideWhenUsed/>
    <w:rsid w:val="0041250B"/>
    <w:pPr>
      <w:spacing w:after="120"/>
      <w:ind w:left="283"/>
    </w:pPr>
  </w:style>
  <w:style w:type="character" w:customStyle="1" w:styleId="BodyTextIndentChar">
    <w:name w:val="Body Text Indent Char"/>
    <w:basedOn w:val="DefaultParagraphFont"/>
    <w:link w:val="BodyTextIndent"/>
    <w:uiPriority w:val="99"/>
    <w:semiHidden/>
    <w:rsid w:val="0041250B"/>
    <w:rPr>
      <w:rFonts w:ascii="Verdana" w:hAnsi="Verdana"/>
      <w:sz w:val="18"/>
    </w:rPr>
  </w:style>
  <w:style w:type="paragraph" w:styleId="NormalIndent">
    <w:name w:val="Normal Indent"/>
    <w:basedOn w:val="Normal"/>
    <w:uiPriority w:val="99"/>
    <w:semiHidden/>
    <w:unhideWhenUsed/>
    <w:rsid w:val="0041250B"/>
    <w:pPr>
      <w:ind w:left="567"/>
    </w:pPr>
  </w:style>
  <w:style w:type="paragraph" w:styleId="NoSpacing">
    <w:name w:val="No Spacing"/>
    <w:uiPriority w:val="1"/>
    <w:rsid w:val="0041250B"/>
    <w:pPr>
      <w:spacing w:after="0" w:line="240" w:lineRule="auto"/>
      <w:jc w:val="both"/>
    </w:pPr>
    <w:rPr>
      <w:rFonts w:ascii="Verdana" w:hAnsi="Verdana"/>
      <w:sz w:val="18"/>
    </w:rPr>
  </w:style>
  <w:style w:type="paragraph" w:styleId="Subtitle">
    <w:name w:val="Subtitle"/>
    <w:basedOn w:val="Normal"/>
    <w:next w:val="Normal"/>
    <w:link w:val="SubtitleChar"/>
    <w:uiPriority w:val="6"/>
    <w:qFormat/>
    <w:rsid w:val="0041250B"/>
    <w:pPr>
      <w:numPr>
        <w:ilvl w:val="1"/>
      </w:numPr>
    </w:pPr>
    <w:rPr>
      <w:rFonts w:eastAsiaTheme="majorEastAsia" w:cstheme="majorBidi"/>
      <w:b/>
      <w:iCs/>
      <w:szCs w:val="24"/>
    </w:rPr>
  </w:style>
  <w:style w:type="character" w:customStyle="1" w:styleId="SubtitleChar">
    <w:name w:val="Subtitle Char"/>
    <w:basedOn w:val="DefaultParagraphFont"/>
    <w:link w:val="Subtitle"/>
    <w:uiPriority w:val="6"/>
    <w:rsid w:val="0041250B"/>
    <w:rPr>
      <w:rFonts w:ascii="Verdana" w:eastAsiaTheme="majorEastAsia" w:hAnsi="Verdana" w:cstheme="majorBidi"/>
      <w:b/>
      <w:iCs/>
      <w:sz w:val="18"/>
      <w:szCs w:val="24"/>
    </w:rPr>
  </w:style>
  <w:style w:type="paragraph" w:customStyle="1" w:styleId="SummaryHeader">
    <w:name w:val="SummaryHeader"/>
    <w:basedOn w:val="Normal"/>
    <w:uiPriority w:val="4"/>
    <w:qFormat/>
    <w:rsid w:val="0041250B"/>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41250B"/>
    <w:pPr>
      <w:spacing w:after="240"/>
      <w:outlineLvl w:val="1"/>
    </w:pPr>
    <w:rPr>
      <w:b/>
      <w:color w:val="006283"/>
    </w:rPr>
  </w:style>
  <w:style w:type="paragraph" w:customStyle="1" w:styleId="SummaryText">
    <w:name w:val="SummaryText"/>
    <w:basedOn w:val="Normal"/>
    <w:uiPriority w:val="4"/>
    <w:qFormat/>
    <w:rsid w:val="0041250B"/>
    <w:pPr>
      <w:numPr>
        <w:numId w:val="23"/>
      </w:numPr>
      <w:spacing w:after="240"/>
    </w:pPr>
    <w:rPr>
      <w:rFonts w:eastAsia="Calibri" w:cs="Times New Roman"/>
    </w:rPr>
  </w:style>
  <w:style w:type="table" w:styleId="TableGrid">
    <w:name w:val="Table Grid"/>
    <w:basedOn w:val="TableNormal"/>
    <w:uiPriority w:val="59"/>
    <w:rsid w:val="0041250B"/>
    <w:pPr>
      <w:spacing w:after="0" w:line="240" w:lineRule="auto"/>
    </w:pPr>
    <w:rPr>
      <w:rFonts w:ascii="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39"/>
    <w:rsid w:val="0041250B"/>
    <w:pPr>
      <w:tabs>
        <w:tab w:val="left" w:pos="567"/>
        <w:tab w:val="right" w:leader="dot" w:pos="9027"/>
      </w:tabs>
      <w:spacing w:after="120"/>
      <w:ind w:right="720"/>
    </w:pPr>
    <w:rPr>
      <w:rFonts w:eastAsia="Times New Roman" w:cs="Times New Roman"/>
      <w:szCs w:val="20"/>
      <w:lang w:eastAsia="en-GB"/>
    </w:rPr>
  </w:style>
  <w:style w:type="paragraph" w:styleId="TOC1">
    <w:name w:val="toc 1"/>
    <w:basedOn w:val="Normal"/>
    <w:next w:val="Normal"/>
    <w:autoRedefine/>
    <w:uiPriority w:val="39"/>
    <w:rsid w:val="004E4C15"/>
    <w:pPr>
      <w:tabs>
        <w:tab w:val="right" w:leader="dot" w:pos="9027"/>
      </w:tabs>
      <w:spacing w:before="120" w:after="120"/>
      <w:jc w:val="left"/>
    </w:pPr>
    <w:rPr>
      <w:rFonts w:eastAsia="Calibri" w:cs="Times New Roman"/>
      <w:b/>
      <w:caps/>
      <w:szCs w:val="18"/>
      <w:lang w:eastAsia="en-GB"/>
    </w:rPr>
  </w:style>
  <w:style w:type="paragraph" w:styleId="TOC2">
    <w:name w:val="toc 2"/>
    <w:basedOn w:val="Normal"/>
    <w:next w:val="Normal"/>
    <w:autoRedefine/>
    <w:uiPriority w:val="39"/>
    <w:rsid w:val="004E4C15"/>
    <w:pPr>
      <w:tabs>
        <w:tab w:val="right" w:leader="dot" w:pos="9027"/>
      </w:tabs>
      <w:spacing w:before="120" w:after="120"/>
      <w:jc w:val="left"/>
    </w:pPr>
    <w:rPr>
      <w:rFonts w:eastAsia="Calibri" w:cs="Times New Roman"/>
      <w:szCs w:val="18"/>
      <w:lang w:eastAsia="en-GB"/>
    </w:rPr>
  </w:style>
  <w:style w:type="paragraph" w:styleId="TOC3">
    <w:name w:val="toc 3"/>
    <w:basedOn w:val="Normal"/>
    <w:next w:val="Normal"/>
    <w:autoRedefine/>
    <w:uiPriority w:val="39"/>
    <w:rsid w:val="004E4C15"/>
    <w:pPr>
      <w:tabs>
        <w:tab w:val="right" w:leader="dot" w:pos="9027"/>
      </w:tabs>
      <w:spacing w:before="120" w:after="120"/>
      <w:jc w:val="left"/>
    </w:pPr>
    <w:rPr>
      <w:rFonts w:eastAsia="Calibri" w:cs="Times New Roman"/>
      <w:szCs w:val="18"/>
      <w:lang w:eastAsia="en-GB"/>
    </w:rPr>
  </w:style>
  <w:style w:type="paragraph" w:styleId="TOC4">
    <w:name w:val="toc 4"/>
    <w:basedOn w:val="Normal"/>
    <w:next w:val="Normal"/>
    <w:autoRedefine/>
    <w:uiPriority w:val="39"/>
    <w:rsid w:val="004E4C15"/>
    <w:pPr>
      <w:tabs>
        <w:tab w:val="right" w:leader="dot" w:pos="9027"/>
      </w:tabs>
      <w:spacing w:before="120" w:after="120"/>
      <w:jc w:val="left"/>
    </w:pPr>
    <w:rPr>
      <w:rFonts w:eastAsia="Calibri" w:cs="Times New Roman"/>
      <w:szCs w:val="18"/>
      <w:lang w:eastAsia="en-GB"/>
    </w:rPr>
  </w:style>
  <w:style w:type="paragraph" w:styleId="TOC5">
    <w:name w:val="toc 5"/>
    <w:basedOn w:val="Normal"/>
    <w:next w:val="Normal"/>
    <w:autoRedefine/>
    <w:uiPriority w:val="39"/>
    <w:rsid w:val="004E4C15"/>
    <w:pPr>
      <w:tabs>
        <w:tab w:val="right" w:leader="dot" w:pos="9027"/>
      </w:tabs>
      <w:spacing w:before="120" w:after="120"/>
      <w:jc w:val="left"/>
    </w:pPr>
    <w:rPr>
      <w:rFonts w:eastAsia="Calibri" w:cs="Times New Roman"/>
      <w:szCs w:val="18"/>
      <w:lang w:eastAsia="en-GB"/>
    </w:rPr>
  </w:style>
  <w:style w:type="paragraph" w:styleId="TOC6">
    <w:name w:val="toc 6"/>
    <w:basedOn w:val="Normal"/>
    <w:next w:val="Normal"/>
    <w:autoRedefine/>
    <w:uiPriority w:val="39"/>
    <w:rsid w:val="004E4C15"/>
    <w:pPr>
      <w:tabs>
        <w:tab w:val="right" w:leader="dot" w:pos="9027"/>
      </w:tabs>
      <w:spacing w:before="120" w:after="120"/>
      <w:jc w:val="left"/>
    </w:pPr>
    <w:rPr>
      <w:rFonts w:eastAsia="Calibri" w:cs="Times New Roman"/>
      <w:szCs w:val="18"/>
      <w:lang w:eastAsia="en-GB"/>
    </w:rPr>
  </w:style>
  <w:style w:type="paragraph" w:styleId="TOC7">
    <w:name w:val="toc 7"/>
    <w:basedOn w:val="Normal"/>
    <w:next w:val="Normal"/>
    <w:autoRedefine/>
    <w:uiPriority w:val="39"/>
    <w:rsid w:val="004E4C15"/>
    <w:pPr>
      <w:tabs>
        <w:tab w:val="left" w:pos="851"/>
        <w:tab w:val="right" w:leader="dot" w:pos="9027"/>
      </w:tabs>
      <w:spacing w:before="120" w:after="120"/>
      <w:ind w:left="567"/>
      <w:jc w:val="left"/>
    </w:pPr>
    <w:rPr>
      <w:rFonts w:eastAsia="Calibri" w:cs="Times New Roman"/>
      <w:szCs w:val="18"/>
      <w:lang w:eastAsia="en-GB"/>
    </w:rPr>
  </w:style>
  <w:style w:type="paragraph" w:styleId="TOC8">
    <w:name w:val="toc 8"/>
    <w:basedOn w:val="Normal"/>
    <w:next w:val="Normal"/>
    <w:autoRedefine/>
    <w:uiPriority w:val="39"/>
    <w:rsid w:val="004E4C15"/>
    <w:pPr>
      <w:tabs>
        <w:tab w:val="left" w:pos="851"/>
        <w:tab w:val="left" w:pos="1134"/>
        <w:tab w:val="right" w:leader="dot" w:pos="9027"/>
      </w:tabs>
      <w:spacing w:before="120" w:after="120"/>
      <w:ind w:left="851"/>
      <w:jc w:val="left"/>
    </w:pPr>
    <w:rPr>
      <w:rFonts w:eastAsia="Calibri" w:cs="Times New Roman"/>
      <w:szCs w:val="18"/>
      <w:lang w:eastAsia="en-GB"/>
    </w:rPr>
  </w:style>
  <w:style w:type="paragraph" w:styleId="TOC9">
    <w:name w:val="toc 9"/>
    <w:basedOn w:val="Normal"/>
    <w:next w:val="Normal"/>
    <w:autoRedefine/>
    <w:uiPriority w:val="39"/>
    <w:rsid w:val="004E4C15"/>
    <w:pPr>
      <w:tabs>
        <w:tab w:val="left" w:pos="851"/>
        <w:tab w:val="left" w:pos="1134"/>
        <w:tab w:val="left" w:pos="1418"/>
        <w:tab w:val="right" w:leader="dot" w:pos="9027"/>
      </w:tabs>
      <w:spacing w:before="120" w:after="120"/>
      <w:ind w:left="1134"/>
      <w:jc w:val="left"/>
    </w:pPr>
    <w:rPr>
      <w:rFonts w:eastAsia="Calibri" w:cs="Times New Roman"/>
      <w:szCs w:val="18"/>
      <w:lang w:eastAsia="en-GB"/>
    </w:rPr>
  </w:style>
  <w:style w:type="character" w:styleId="HTMLKeyboard">
    <w:name w:val="HTML Keyboard"/>
    <w:basedOn w:val="DefaultParagraphFont"/>
    <w:uiPriority w:val="99"/>
    <w:semiHidden/>
    <w:unhideWhenUsed/>
    <w:rsid w:val="0041250B"/>
    <w:rPr>
      <w:rFonts w:ascii="Consolas" w:hAnsi="Consolas" w:cs="Consolas"/>
      <w:sz w:val="20"/>
      <w:szCs w:val="20"/>
    </w:rPr>
  </w:style>
  <w:style w:type="paragraph" w:styleId="TableofAuthorities">
    <w:name w:val="table of authorities"/>
    <w:basedOn w:val="Normal"/>
    <w:next w:val="Normal"/>
    <w:uiPriority w:val="39"/>
    <w:rsid w:val="0041250B"/>
    <w:pPr>
      <w:tabs>
        <w:tab w:val="left" w:pos="720"/>
        <w:tab w:val="right" w:leader="dot" w:pos="9027"/>
      </w:tabs>
      <w:ind w:right="720"/>
    </w:pPr>
    <w:rPr>
      <w:rFonts w:eastAsia="Times New Roman" w:cs="Times New Roman"/>
      <w:szCs w:val="20"/>
      <w:lang w:eastAsia="en-GB"/>
    </w:rPr>
  </w:style>
  <w:style w:type="paragraph" w:styleId="BlockText">
    <w:name w:val="Block Text"/>
    <w:basedOn w:val="Normal"/>
    <w:uiPriority w:val="99"/>
    <w:semiHidden/>
    <w:unhideWhenUsed/>
    <w:rsid w:val="0041250B"/>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asciiTheme="minorHAnsi" w:eastAsiaTheme="minorEastAsia" w:hAnsiTheme="minorHAnsi"/>
      <w:i/>
      <w:iCs/>
      <w:color w:val="4472C4" w:themeColor="accent1"/>
    </w:rPr>
  </w:style>
  <w:style w:type="paragraph" w:styleId="BalloonText">
    <w:name w:val="Balloon Text"/>
    <w:basedOn w:val="Normal"/>
    <w:link w:val="BalloonTextChar"/>
    <w:uiPriority w:val="99"/>
    <w:semiHidden/>
    <w:unhideWhenUsed/>
    <w:rsid w:val="0041250B"/>
    <w:rPr>
      <w:rFonts w:ascii="Tahoma" w:hAnsi="Tahoma" w:cs="Tahoma"/>
      <w:sz w:val="16"/>
      <w:szCs w:val="16"/>
    </w:rPr>
  </w:style>
  <w:style w:type="character" w:customStyle="1" w:styleId="BalloonTextChar">
    <w:name w:val="Balloon Text Char"/>
    <w:basedOn w:val="DefaultParagraphFont"/>
    <w:link w:val="BalloonText"/>
    <w:uiPriority w:val="99"/>
    <w:semiHidden/>
    <w:rsid w:val="0041250B"/>
    <w:rPr>
      <w:rFonts w:ascii="Tahoma" w:hAnsi="Tahoma" w:cs="Tahoma"/>
      <w:sz w:val="16"/>
      <w:szCs w:val="16"/>
    </w:rPr>
  </w:style>
  <w:style w:type="character" w:styleId="PlaceholderText">
    <w:name w:val="Placeholder Text"/>
    <w:basedOn w:val="DefaultParagraphFont"/>
    <w:uiPriority w:val="99"/>
    <w:semiHidden/>
    <w:rsid w:val="0041250B"/>
    <w:rPr>
      <w:color w:val="808080"/>
    </w:rPr>
  </w:style>
  <w:style w:type="character" w:styleId="Strong">
    <w:name w:val="Strong"/>
    <w:basedOn w:val="DefaultParagraphFont"/>
    <w:uiPriority w:val="99"/>
    <w:unhideWhenUsed/>
    <w:qFormat/>
    <w:rsid w:val="0041250B"/>
    <w:rPr>
      <w:b/>
      <w:bCs/>
    </w:rPr>
  </w:style>
  <w:style w:type="paragraph" w:styleId="BodyText">
    <w:name w:val="Body Text"/>
    <w:basedOn w:val="Normal"/>
    <w:link w:val="BodyTextChar"/>
    <w:uiPriority w:val="1"/>
    <w:qFormat/>
    <w:rsid w:val="00503D18"/>
    <w:pPr>
      <w:numPr>
        <w:ilvl w:val="6"/>
        <w:numId w:val="1"/>
      </w:numPr>
      <w:spacing w:after="240"/>
    </w:pPr>
  </w:style>
  <w:style w:type="character" w:customStyle="1" w:styleId="BodyTextChar">
    <w:name w:val="Body Text Char"/>
    <w:basedOn w:val="DefaultParagraphFont"/>
    <w:link w:val="BodyText"/>
    <w:uiPriority w:val="1"/>
    <w:rsid w:val="0041250B"/>
    <w:rPr>
      <w:rFonts w:ascii="Verdana" w:hAnsi="Verdana"/>
      <w:sz w:val="18"/>
    </w:rPr>
  </w:style>
  <w:style w:type="paragraph" w:styleId="BodyText2">
    <w:name w:val="Body Text 2"/>
    <w:basedOn w:val="Normal"/>
    <w:link w:val="BodyText2Char"/>
    <w:uiPriority w:val="1"/>
    <w:qFormat/>
    <w:rsid w:val="00503D18"/>
    <w:pPr>
      <w:numPr>
        <w:ilvl w:val="7"/>
        <w:numId w:val="1"/>
      </w:numPr>
      <w:tabs>
        <w:tab w:val="left" w:pos="1134"/>
      </w:tabs>
      <w:spacing w:after="240"/>
    </w:pPr>
  </w:style>
  <w:style w:type="character" w:customStyle="1" w:styleId="BodyText2Char">
    <w:name w:val="Body Text 2 Char"/>
    <w:basedOn w:val="DefaultParagraphFont"/>
    <w:link w:val="BodyText2"/>
    <w:uiPriority w:val="1"/>
    <w:rsid w:val="00DE25F0"/>
    <w:rPr>
      <w:rFonts w:ascii="Verdana" w:hAnsi="Verdana"/>
      <w:sz w:val="18"/>
    </w:rPr>
  </w:style>
  <w:style w:type="paragraph" w:styleId="BodyText3">
    <w:name w:val="Body Text 3"/>
    <w:basedOn w:val="Normal"/>
    <w:link w:val="BodyText3Char"/>
    <w:uiPriority w:val="1"/>
    <w:qFormat/>
    <w:rsid w:val="00503D18"/>
    <w:pPr>
      <w:numPr>
        <w:ilvl w:val="8"/>
        <w:numId w:val="1"/>
      </w:numPr>
      <w:tabs>
        <w:tab w:val="left" w:pos="1701"/>
      </w:tabs>
      <w:spacing w:after="240"/>
    </w:pPr>
    <w:rPr>
      <w:szCs w:val="16"/>
    </w:rPr>
  </w:style>
  <w:style w:type="character" w:customStyle="1" w:styleId="BodyText3Char">
    <w:name w:val="Body Text 3 Char"/>
    <w:basedOn w:val="DefaultParagraphFont"/>
    <w:link w:val="BodyText3"/>
    <w:uiPriority w:val="1"/>
    <w:rsid w:val="002B64A8"/>
    <w:rPr>
      <w:rFonts w:ascii="Verdana" w:hAnsi="Verdana"/>
      <w:sz w:val="18"/>
      <w:szCs w:val="16"/>
    </w:rPr>
  </w:style>
  <w:style w:type="paragraph" w:styleId="BodyTextFirstIndent">
    <w:name w:val="Body Text First Indent"/>
    <w:basedOn w:val="BodyText"/>
    <w:link w:val="BodyTextFirstIndentChar"/>
    <w:uiPriority w:val="99"/>
    <w:semiHidden/>
    <w:unhideWhenUsed/>
    <w:rsid w:val="0041250B"/>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41250B"/>
    <w:rPr>
      <w:rFonts w:ascii="Verdana" w:hAnsi="Verdana"/>
      <w:sz w:val="18"/>
    </w:rPr>
  </w:style>
  <w:style w:type="paragraph" w:styleId="BodyTextFirstIndent2">
    <w:name w:val="Body Text First Indent 2"/>
    <w:basedOn w:val="BodyTextIndent"/>
    <w:link w:val="BodyTextFirstIndent2Char"/>
    <w:uiPriority w:val="99"/>
    <w:semiHidden/>
    <w:unhideWhenUsed/>
    <w:rsid w:val="0041250B"/>
    <w:pPr>
      <w:spacing w:after="0"/>
      <w:ind w:left="360" w:firstLine="360"/>
    </w:pPr>
  </w:style>
  <w:style w:type="character" w:customStyle="1" w:styleId="BodyTextFirstIndent2Char">
    <w:name w:val="Body Text First Indent 2 Char"/>
    <w:basedOn w:val="BodyTextIndentChar"/>
    <w:link w:val="BodyTextFirstIndent2"/>
    <w:uiPriority w:val="99"/>
    <w:semiHidden/>
    <w:rsid w:val="0041250B"/>
    <w:rPr>
      <w:rFonts w:ascii="Verdana" w:hAnsi="Verdana"/>
      <w:sz w:val="18"/>
    </w:rPr>
  </w:style>
  <w:style w:type="paragraph" w:styleId="MacroText">
    <w:name w:val="macro"/>
    <w:link w:val="MacroTextChar"/>
    <w:uiPriority w:val="99"/>
    <w:semiHidden/>
    <w:unhideWhenUsed/>
    <w:rsid w:val="0041250B"/>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41250B"/>
    <w:rPr>
      <w:rFonts w:ascii="Consolas" w:hAnsi="Consolas" w:cs="Consolas"/>
      <w:sz w:val="20"/>
      <w:szCs w:val="20"/>
    </w:rPr>
  </w:style>
  <w:style w:type="paragraph" w:styleId="EndnoteText">
    <w:name w:val="endnote text"/>
    <w:basedOn w:val="FootnoteText"/>
    <w:link w:val="EndnoteTextChar"/>
    <w:uiPriority w:val="49"/>
    <w:rsid w:val="0041250B"/>
    <w:rPr>
      <w:szCs w:val="20"/>
    </w:rPr>
  </w:style>
  <w:style w:type="character" w:customStyle="1" w:styleId="EndnoteTextChar">
    <w:name w:val="Endnote Text Char"/>
    <w:link w:val="EndnoteText"/>
    <w:uiPriority w:val="49"/>
    <w:rsid w:val="0041250B"/>
    <w:rPr>
      <w:rFonts w:ascii="Verdana" w:eastAsia="Calibri" w:hAnsi="Verdana" w:cs="Times New Roman"/>
      <w:sz w:val="16"/>
      <w:szCs w:val="20"/>
      <w:lang w:eastAsia="en-GB"/>
    </w:rPr>
  </w:style>
  <w:style w:type="paragraph" w:styleId="PlainText">
    <w:name w:val="Plain Text"/>
    <w:basedOn w:val="Normal"/>
    <w:link w:val="PlainTextChar"/>
    <w:uiPriority w:val="99"/>
    <w:unhideWhenUsed/>
    <w:rsid w:val="0041250B"/>
    <w:rPr>
      <w:rFonts w:ascii="Consolas" w:hAnsi="Consolas" w:cs="Consolas"/>
      <w:sz w:val="21"/>
      <w:szCs w:val="21"/>
    </w:rPr>
  </w:style>
  <w:style w:type="character" w:customStyle="1" w:styleId="PlainTextChar">
    <w:name w:val="Plain Text Char"/>
    <w:basedOn w:val="DefaultParagraphFont"/>
    <w:link w:val="PlainText"/>
    <w:uiPriority w:val="99"/>
    <w:rsid w:val="0041250B"/>
    <w:rPr>
      <w:rFonts w:ascii="Consolas" w:hAnsi="Consolas" w:cs="Consolas"/>
      <w:sz w:val="21"/>
      <w:szCs w:val="21"/>
    </w:rPr>
  </w:style>
  <w:style w:type="paragraph" w:customStyle="1" w:styleId="Title2">
    <w:name w:val="Title 2"/>
    <w:basedOn w:val="Normal"/>
    <w:next w:val="Normal"/>
    <w:uiPriority w:val="5"/>
    <w:qFormat/>
    <w:rsid w:val="0041250B"/>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41250B"/>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41250B"/>
    <w:pPr>
      <w:spacing w:after="360"/>
      <w:jc w:val="center"/>
    </w:pPr>
    <w:rPr>
      <w:rFonts w:eastAsia="Calibri" w:cs="Times New Roman"/>
      <w:smallCaps/>
      <w:color w:val="006283"/>
      <w:szCs w:val="18"/>
      <w:lang w:eastAsia="en-GB"/>
    </w:rPr>
  </w:style>
  <w:style w:type="paragraph" w:customStyle="1" w:styleId="TitleDate">
    <w:name w:val="Title Date"/>
    <w:basedOn w:val="Normal"/>
    <w:next w:val="Normal"/>
    <w:uiPriority w:val="5"/>
    <w:qFormat/>
    <w:rsid w:val="0041250B"/>
    <w:pPr>
      <w:spacing w:after="240"/>
      <w:jc w:val="center"/>
    </w:pPr>
    <w:rPr>
      <w:rFonts w:eastAsia="Calibri" w:cs="Times New Roman"/>
      <w:color w:val="006283"/>
    </w:rPr>
  </w:style>
  <w:style w:type="paragraph" w:customStyle="1" w:styleId="TitlePublication">
    <w:name w:val="Title Publication"/>
    <w:basedOn w:val="Normal"/>
    <w:uiPriority w:val="49"/>
    <w:qFormat/>
    <w:rsid w:val="0041250B"/>
    <w:pPr>
      <w:keepNext/>
      <w:keepLines/>
      <w:spacing w:after="240"/>
      <w:jc w:val="left"/>
    </w:pPr>
    <w:rPr>
      <w:rFonts w:eastAsia="Times New Roman" w:cs="Times New Roman"/>
      <w:b/>
      <w:caps/>
      <w:color w:val="006283"/>
      <w:sz w:val="28"/>
    </w:rPr>
  </w:style>
  <w:style w:type="paragraph" w:styleId="Title">
    <w:name w:val="Title"/>
    <w:basedOn w:val="Normal"/>
    <w:next w:val="Normal"/>
    <w:link w:val="TitleChar"/>
    <w:uiPriority w:val="5"/>
    <w:qFormat/>
    <w:rsid w:val="0041250B"/>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41250B"/>
    <w:rPr>
      <w:rFonts w:ascii="Verdana" w:eastAsiaTheme="majorEastAsia" w:hAnsi="Verdana" w:cstheme="majorBidi"/>
      <w:b/>
      <w:caps/>
      <w:color w:val="006283"/>
      <w:kern w:val="28"/>
      <w:sz w:val="18"/>
      <w:szCs w:val="52"/>
    </w:rPr>
  </w:style>
  <w:style w:type="character" w:customStyle="1" w:styleId="Heading1Char">
    <w:name w:val="Heading 1 Char"/>
    <w:basedOn w:val="DefaultParagraphFont"/>
    <w:link w:val="Heading1"/>
    <w:uiPriority w:val="2"/>
    <w:rsid w:val="0041250B"/>
    <w:rPr>
      <w:rFonts w:ascii="Verdana" w:eastAsiaTheme="majorEastAsia" w:hAnsi="Verdana" w:cstheme="majorBidi"/>
      <w:b/>
      <w:bCs/>
      <w:caps/>
      <w:color w:val="006283"/>
      <w:sz w:val="18"/>
      <w:szCs w:val="28"/>
    </w:rPr>
  </w:style>
  <w:style w:type="character" w:customStyle="1" w:styleId="Heading2Char">
    <w:name w:val="Heading 2 Char"/>
    <w:basedOn w:val="DefaultParagraphFont"/>
    <w:link w:val="Heading2"/>
    <w:uiPriority w:val="2"/>
    <w:rsid w:val="0041250B"/>
    <w:rPr>
      <w:rFonts w:ascii="Verdana" w:eastAsiaTheme="majorEastAsia" w:hAnsi="Verdana" w:cstheme="majorBidi"/>
      <w:b/>
      <w:bCs/>
      <w:color w:val="006283"/>
      <w:sz w:val="18"/>
      <w:szCs w:val="26"/>
    </w:rPr>
  </w:style>
  <w:style w:type="character" w:customStyle="1" w:styleId="Heading3Char">
    <w:name w:val="Heading 3 Char"/>
    <w:basedOn w:val="DefaultParagraphFont"/>
    <w:link w:val="Heading3"/>
    <w:uiPriority w:val="2"/>
    <w:rsid w:val="0041250B"/>
    <w:rPr>
      <w:rFonts w:ascii="Verdana" w:eastAsiaTheme="majorEastAsia" w:hAnsi="Verdana" w:cstheme="majorBidi"/>
      <w:b/>
      <w:bCs/>
      <w:color w:val="006283"/>
      <w:sz w:val="18"/>
    </w:rPr>
  </w:style>
  <w:style w:type="character" w:customStyle="1" w:styleId="Heading4Char">
    <w:name w:val="Heading 4 Char"/>
    <w:basedOn w:val="DefaultParagraphFont"/>
    <w:link w:val="Heading4"/>
    <w:uiPriority w:val="2"/>
    <w:rsid w:val="0041250B"/>
    <w:rPr>
      <w:rFonts w:ascii="Verdana" w:eastAsiaTheme="majorEastAsia" w:hAnsi="Verdana" w:cstheme="majorBidi"/>
      <w:b/>
      <w:bCs/>
      <w:iCs/>
      <w:color w:val="006283"/>
      <w:sz w:val="18"/>
    </w:rPr>
  </w:style>
  <w:style w:type="character" w:customStyle="1" w:styleId="Heading5Char">
    <w:name w:val="Heading 5 Char"/>
    <w:basedOn w:val="DefaultParagraphFont"/>
    <w:link w:val="Heading5"/>
    <w:uiPriority w:val="2"/>
    <w:rsid w:val="0041250B"/>
    <w:rPr>
      <w:rFonts w:ascii="Verdana" w:eastAsiaTheme="majorEastAsia" w:hAnsi="Verdana" w:cstheme="majorBidi"/>
      <w:b/>
      <w:color w:val="006283"/>
      <w:sz w:val="18"/>
    </w:rPr>
  </w:style>
  <w:style w:type="character" w:customStyle="1" w:styleId="Heading6Char">
    <w:name w:val="Heading 6 Char"/>
    <w:basedOn w:val="DefaultParagraphFont"/>
    <w:link w:val="Heading6"/>
    <w:uiPriority w:val="2"/>
    <w:rsid w:val="0041250B"/>
    <w:rPr>
      <w:rFonts w:ascii="Verdana" w:eastAsiaTheme="majorEastAsia" w:hAnsi="Verdana" w:cstheme="majorBidi"/>
      <w:b/>
      <w:iCs/>
      <w:color w:val="006283"/>
      <w:sz w:val="18"/>
    </w:rPr>
  </w:style>
  <w:style w:type="character" w:customStyle="1" w:styleId="Heading7Char">
    <w:name w:val="Heading 7 Char"/>
    <w:basedOn w:val="DefaultParagraphFont"/>
    <w:link w:val="Heading7"/>
    <w:uiPriority w:val="2"/>
    <w:rsid w:val="0041250B"/>
    <w:rPr>
      <w:rFonts w:ascii="Verdana" w:eastAsiaTheme="majorEastAsia" w:hAnsi="Verdana" w:cstheme="majorBidi"/>
      <w:b/>
      <w:iCs/>
      <w:color w:val="006283"/>
      <w:sz w:val="18"/>
    </w:rPr>
  </w:style>
  <w:style w:type="character" w:customStyle="1" w:styleId="Heading8Char">
    <w:name w:val="Heading 8 Char"/>
    <w:basedOn w:val="DefaultParagraphFont"/>
    <w:link w:val="Heading8"/>
    <w:uiPriority w:val="2"/>
    <w:rsid w:val="0041250B"/>
    <w:rPr>
      <w:rFonts w:ascii="Verdana" w:eastAsiaTheme="majorEastAsia" w:hAnsi="Verdana" w:cstheme="majorBidi"/>
      <w:b/>
      <w:i/>
      <w:color w:val="006283"/>
      <w:sz w:val="18"/>
      <w:szCs w:val="20"/>
    </w:rPr>
  </w:style>
  <w:style w:type="character" w:customStyle="1" w:styleId="Heading9Char">
    <w:name w:val="Heading 9 Char"/>
    <w:basedOn w:val="DefaultParagraphFont"/>
    <w:link w:val="Heading9"/>
    <w:uiPriority w:val="2"/>
    <w:rsid w:val="0041250B"/>
    <w:rPr>
      <w:rFonts w:ascii="Verdana" w:eastAsiaTheme="majorEastAsia" w:hAnsi="Verdana" w:cstheme="majorBidi"/>
      <w:b/>
      <w:iCs/>
      <w:color w:val="006283"/>
      <w:sz w:val="18"/>
      <w:szCs w:val="20"/>
      <w:u w:val="single"/>
    </w:rPr>
  </w:style>
  <w:style w:type="paragraph" w:styleId="IndexHeading">
    <w:name w:val="index heading"/>
    <w:basedOn w:val="Normal"/>
    <w:next w:val="Index1"/>
    <w:uiPriority w:val="99"/>
    <w:semiHidden/>
    <w:unhideWhenUsed/>
    <w:rsid w:val="0041250B"/>
    <w:rPr>
      <w:rFonts w:asciiTheme="majorHAnsi" w:eastAsiaTheme="majorEastAsia" w:hAnsiTheme="majorHAnsi" w:cstheme="majorBidi"/>
      <w:b/>
      <w:bCs/>
    </w:rPr>
  </w:style>
  <w:style w:type="character" w:styleId="BookTitle">
    <w:name w:val="Book Title"/>
    <w:basedOn w:val="DefaultParagraphFont"/>
    <w:uiPriority w:val="99"/>
    <w:unhideWhenUsed/>
    <w:qFormat/>
    <w:rsid w:val="0041250B"/>
    <w:rPr>
      <w:b/>
      <w:bCs/>
      <w:smallCaps/>
      <w:spacing w:val="5"/>
    </w:rPr>
  </w:style>
  <w:style w:type="paragraph" w:styleId="TOCHeading">
    <w:name w:val="TOC Heading"/>
    <w:basedOn w:val="Normal"/>
    <w:next w:val="Normal"/>
    <w:uiPriority w:val="39"/>
    <w:qFormat/>
    <w:rsid w:val="0041250B"/>
    <w:pPr>
      <w:spacing w:before="240"/>
      <w:jc w:val="center"/>
    </w:pPr>
    <w:rPr>
      <w:rFonts w:eastAsia="Times New Roman" w:cs="Times New Roman"/>
      <w:b/>
      <w:bCs/>
      <w:szCs w:val="28"/>
      <w:lang w:eastAsia="en-GB"/>
    </w:rPr>
  </w:style>
  <w:style w:type="character" w:styleId="HTMLVariable">
    <w:name w:val="HTML Variable"/>
    <w:basedOn w:val="DefaultParagraphFont"/>
    <w:uiPriority w:val="99"/>
    <w:semiHidden/>
    <w:unhideWhenUsed/>
    <w:rsid w:val="0041250B"/>
    <w:rPr>
      <w:i/>
      <w:iCs/>
    </w:rPr>
  </w:style>
  <w:style w:type="table" w:customStyle="1" w:styleId="WTOBox1">
    <w:name w:val="WTOBox1"/>
    <w:basedOn w:val="TableNormal"/>
    <w:uiPriority w:val="99"/>
    <w:rsid w:val="0041250B"/>
    <w:pPr>
      <w:spacing w:after="0" w:line="240" w:lineRule="auto"/>
    </w:pPr>
    <w:rPr>
      <w:rFonts w:ascii="Calibri" w:hAnsi="Calibri" w:cs="Times New Roman"/>
      <w:sz w:val="20"/>
      <w:szCs w:val="20"/>
      <w:lang w:val="en-GB"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1250B"/>
    <w:pPr>
      <w:spacing w:after="0" w:line="240" w:lineRule="auto"/>
    </w:pPr>
    <w:rPr>
      <w:rFonts w:ascii="Verdana" w:hAnsi="Verdana" w:cs="Times New Roman"/>
      <w:sz w:val="16"/>
      <w:szCs w:val="20"/>
      <w:lang w:val="en-GB"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41250B"/>
    <w:pPr>
      <w:spacing w:after="0" w:line="240" w:lineRule="auto"/>
    </w:pPr>
    <w:rPr>
      <w:rFonts w:ascii="Verdana" w:hAnsi="Verdana" w:cs="Times New Roman"/>
      <w:sz w:val="16"/>
      <w:szCs w:val="18"/>
      <w:lang w:val="en-GB"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11227</Words>
  <Characters>63995</Characters>
  <Application>Microsoft Office Word</Application>
  <DocSecurity>0</DocSecurity>
  <Lines>533</Lines>
  <Paragraphs>150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Schacht Mac-Kay, Ana Maria</dc:creator>
  <cp:keywords/>
  <dc:description/>
  <cp:lastModifiedBy>Mitchell, Madeleine</cp:lastModifiedBy>
  <cp:revision>2</cp:revision>
  <dcterms:created xsi:type="dcterms:W3CDTF">2021-05-18T15:19:00Z</dcterms:created>
  <dcterms:modified xsi:type="dcterms:W3CDTF">2021-05-18T15:19:00Z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f2edcab6-927b-4453-91c7-2f0d7b7fb7e4</vt:lpwstr>
  </property>
  <property fmtid="{D5CDD505-2E9C-101B-9397-08002B2CF9AE}" pid="3" name="WTOCLASSIFICATION">
    <vt:lpwstr>WTO OFFICIAL</vt:lpwstr>
  </property>
</Properties>
</file>