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DD4C2" w14:textId="2F820A61" w:rsidR="009317A9" w:rsidRDefault="009317A9" w:rsidP="009317A9">
      <w:bookmarkStart w:id="8" w:name="_Hlk64286373"/>
    </w:p>
    <w:p w14:paraId="2AD50707" w14:textId="497B5E93" w:rsidR="009317A9" w:rsidRDefault="009317A9" w:rsidP="009317A9"/>
    <w:p w14:paraId="1CE80EBD" w14:textId="0D8A1A44" w:rsidR="009317A9" w:rsidRDefault="009317A9" w:rsidP="009317A9"/>
    <w:p w14:paraId="061E5FA0" w14:textId="56472416" w:rsidR="009317A9" w:rsidRDefault="009317A9" w:rsidP="009317A9"/>
    <w:p w14:paraId="02404B38" w14:textId="7792540B" w:rsidR="009317A9" w:rsidRDefault="009317A9" w:rsidP="009317A9"/>
    <w:p w14:paraId="43AF2CC0" w14:textId="32548ACE" w:rsidR="009317A9" w:rsidRDefault="009317A9" w:rsidP="009317A9"/>
    <w:p w14:paraId="705DDE7E" w14:textId="5C2D89EC" w:rsidR="009317A9" w:rsidRDefault="009317A9" w:rsidP="009317A9"/>
    <w:p w14:paraId="5A111034" w14:textId="5BA78330" w:rsidR="009317A9" w:rsidRDefault="009317A9" w:rsidP="009317A9"/>
    <w:p w14:paraId="4460C2A5" w14:textId="4F181798" w:rsidR="009317A9" w:rsidRDefault="009317A9" w:rsidP="009317A9"/>
    <w:p w14:paraId="6A4E1262" w14:textId="50243695" w:rsidR="009317A9" w:rsidRDefault="009317A9" w:rsidP="009317A9"/>
    <w:p w14:paraId="184ECB12" w14:textId="21D13C52" w:rsidR="009317A9" w:rsidRDefault="009317A9" w:rsidP="009317A9"/>
    <w:p w14:paraId="7303D3E7" w14:textId="74E53502" w:rsidR="009317A9" w:rsidRDefault="009317A9" w:rsidP="009317A9"/>
    <w:p w14:paraId="182F83BE" w14:textId="71DDC6CB" w:rsidR="009317A9" w:rsidRDefault="009317A9" w:rsidP="009317A9"/>
    <w:p w14:paraId="6420517B" w14:textId="46E2BFB6" w:rsidR="009317A9" w:rsidRDefault="009317A9" w:rsidP="009317A9"/>
    <w:p w14:paraId="03E195C4" w14:textId="003B4238" w:rsidR="009317A9" w:rsidRDefault="009317A9" w:rsidP="009317A9"/>
    <w:p w14:paraId="7C6812CA" w14:textId="3FA5D548" w:rsidR="009317A9" w:rsidRDefault="009317A9" w:rsidP="009317A9"/>
    <w:p w14:paraId="57F403CC" w14:textId="47427E61" w:rsidR="009317A9" w:rsidRDefault="009317A9" w:rsidP="009317A9"/>
    <w:p w14:paraId="5CF71DD6" w14:textId="0F408957" w:rsidR="009317A9" w:rsidRDefault="009317A9" w:rsidP="009317A9"/>
    <w:p w14:paraId="39E185FA" w14:textId="1BDDAA94" w:rsidR="009317A9" w:rsidRDefault="009317A9" w:rsidP="009317A9"/>
    <w:p w14:paraId="21E5B2AE" w14:textId="0404788F" w:rsidR="009317A9" w:rsidRDefault="009317A9" w:rsidP="009317A9"/>
    <w:p w14:paraId="3A91B408" w14:textId="77777777" w:rsidR="009317A9" w:rsidRDefault="009317A9" w:rsidP="009317A9"/>
    <w:p w14:paraId="4C05864E" w14:textId="0B4C7C00" w:rsidR="009317A9" w:rsidRPr="001A3B64" w:rsidRDefault="009317A9" w:rsidP="009317A9">
      <w:pPr>
        <w:autoSpaceDE w:val="0"/>
        <w:autoSpaceDN w:val="0"/>
        <w:spacing w:after="240"/>
        <w:jc w:val="center"/>
        <w:outlineLvl w:val="1"/>
        <w:rPr>
          <w:rFonts w:eastAsia="Times New Roman" w:cs="Times New Roman"/>
          <w:b/>
          <w:bCs/>
          <w:szCs w:val="18"/>
        </w:rPr>
      </w:pPr>
      <w:r w:rsidRPr="001A3B64">
        <w:rPr>
          <w:rFonts w:eastAsia="Times New Roman" w:cs="Times New Roman"/>
          <w:b/>
          <w:bCs/>
          <w:color w:val="131413"/>
          <w:szCs w:val="18"/>
        </w:rPr>
        <w:t>ACUERDO SOBRE LAS MEDIDAS EN MATERIA DE</w:t>
      </w:r>
      <w:r w:rsidRPr="001A3B64">
        <w:rPr>
          <w:rFonts w:eastAsia="Times New Roman" w:cs="Times New Roman"/>
          <w:b/>
          <w:bCs/>
          <w:color w:val="131413"/>
          <w:szCs w:val="18"/>
        </w:rPr>
        <w:br/>
        <w:t>INVERSIONES RELACIONADAS CON EL COMERCIO</w:t>
      </w:r>
    </w:p>
    <w:p w14:paraId="1B27416C" w14:textId="77777777" w:rsidR="009317A9" w:rsidRDefault="009317A9" w:rsidP="009317A9"/>
    <w:p w14:paraId="065EF203" w14:textId="790A4C8A" w:rsidR="009317A9" w:rsidRDefault="009317A9">
      <w:pPr>
        <w:spacing w:after="160" w:line="259" w:lineRule="auto"/>
        <w:jc w:val="left"/>
        <w:rPr>
          <w:rFonts w:eastAsia="Times New Roman" w:cs="Times New Roman"/>
          <w:b/>
          <w:bCs/>
          <w:color w:val="131413"/>
          <w:szCs w:val="18"/>
        </w:rPr>
      </w:pPr>
      <w:r>
        <w:rPr>
          <w:rFonts w:eastAsia="Times New Roman" w:cs="Times New Roman"/>
          <w:b/>
          <w:bCs/>
          <w:color w:val="131413"/>
          <w:szCs w:val="18"/>
        </w:rPr>
        <w:br w:type="page"/>
      </w:r>
    </w:p>
    <w:p w14:paraId="7654DD01" w14:textId="5AD05BCF" w:rsidR="00252E64" w:rsidRPr="001A3B64" w:rsidRDefault="00252E64" w:rsidP="009317A9">
      <w:pPr>
        <w:autoSpaceDE w:val="0"/>
        <w:autoSpaceDN w:val="0"/>
        <w:spacing w:before="480" w:after="480"/>
        <w:jc w:val="center"/>
        <w:outlineLvl w:val="1"/>
        <w:rPr>
          <w:rFonts w:eastAsia="Times New Roman" w:cs="Times New Roman"/>
          <w:b/>
          <w:bCs/>
          <w:szCs w:val="18"/>
        </w:rPr>
      </w:pPr>
      <w:r w:rsidRPr="001A3B64">
        <w:rPr>
          <w:rFonts w:eastAsia="Times New Roman" w:cs="Times New Roman"/>
          <w:b/>
          <w:bCs/>
          <w:color w:val="131413"/>
          <w:szCs w:val="18"/>
        </w:rPr>
        <w:lastRenderedPageBreak/>
        <w:t xml:space="preserve">ACUERDO SOBRE </w:t>
      </w:r>
      <w:r w:rsidR="007D3B60" w:rsidRPr="001A3B64">
        <w:rPr>
          <w:rFonts w:eastAsia="Times New Roman" w:cs="Times New Roman"/>
          <w:b/>
          <w:bCs/>
          <w:color w:val="131413"/>
          <w:szCs w:val="18"/>
        </w:rPr>
        <w:t>LAS MEDIDAS EN MATERIA DE</w:t>
      </w:r>
      <w:r w:rsidR="00EF4109" w:rsidRPr="001A3B64">
        <w:rPr>
          <w:rFonts w:eastAsia="Times New Roman" w:cs="Times New Roman"/>
          <w:b/>
          <w:bCs/>
          <w:color w:val="131413"/>
          <w:szCs w:val="18"/>
        </w:rPr>
        <w:br/>
      </w:r>
      <w:r w:rsidR="007D3B60" w:rsidRPr="001A3B64">
        <w:rPr>
          <w:rFonts w:eastAsia="Times New Roman" w:cs="Times New Roman"/>
          <w:b/>
          <w:bCs/>
          <w:color w:val="131413"/>
          <w:szCs w:val="18"/>
        </w:rPr>
        <w:t>INVERSIONES</w:t>
      </w:r>
      <w:r w:rsidR="00EF4109" w:rsidRPr="001A3B64">
        <w:rPr>
          <w:rFonts w:eastAsia="Times New Roman" w:cs="Times New Roman"/>
          <w:b/>
          <w:bCs/>
          <w:color w:val="131413"/>
          <w:szCs w:val="18"/>
        </w:rPr>
        <w:t xml:space="preserve"> </w:t>
      </w:r>
      <w:r w:rsidR="007D3B60" w:rsidRPr="001A3B64">
        <w:rPr>
          <w:rFonts w:eastAsia="Times New Roman" w:cs="Times New Roman"/>
          <w:b/>
          <w:bCs/>
          <w:color w:val="131413"/>
          <w:szCs w:val="18"/>
        </w:rPr>
        <w:t xml:space="preserve">RELACIONADAS CON EL </w:t>
      </w:r>
      <w:r w:rsidRPr="001A3B64">
        <w:rPr>
          <w:rFonts w:eastAsia="Times New Roman" w:cs="Times New Roman"/>
          <w:b/>
          <w:bCs/>
          <w:color w:val="131413"/>
          <w:szCs w:val="18"/>
        </w:rPr>
        <w:t>COMERCIO</w:t>
      </w:r>
    </w:p>
    <w:p w14:paraId="30AF74F6" w14:textId="77777777" w:rsidR="00126225" w:rsidRPr="00CB7EBE" w:rsidRDefault="00126225" w:rsidP="003F5D7D">
      <w:pPr>
        <w:spacing w:after="240"/>
      </w:pPr>
      <w:r w:rsidRPr="001A3B64">
        <w:rPr>
          <w:i/>
          <w:iCs/>
        </w:rPr>
        <w:t>Los Miembros</w:t>
      </w:r>
      <w:r w:rsidRPr="00CB7EBE">
        <w:t>,</w:t>
      </w:r>
    </w:p>
    <w:p w14:paraId="5626D61C" w14:textId="54B29B07" w:rsidR="00126225" w:rsidRPr="001A3B64" w:rsidRDefault="00126225" w:rsidP="003F5D7D">
      <w:pPr>
        <w:spacing w:after="240"/>
        <w:ind w:firstLine="567"/>
      </w:pPr>
      <w:r w:rsidRPr="001A3B64">
        <w:rPr>
          <w:i/>
        </w:rPr>
        <w:t>Considerando</w:t>
      </w:r>
      <w:r w:rsidRPr="002F69AA">
        <w:t xml:space="preserve"> </w:t>
      </w:r>
      <w:r w:rsidRPr="001A3B64">
        <w:t>que, en la Declaración de Punta del Este, los Ministros convinieron en que "A</w:t>
      </w:r>
      <w:r w:rsidR="00EF4109" w:rsidRPr="001A3B64">
        <w:t> </w:t>
      </w:r>
      <w:r w:rsidRPr="001A3B64">
        <w:t>continuación de un examen del funcionamiento de los artículos del Acuerdo General relativos a los efectos de restricciones y distorsiones del comercio resultantes de las medidas en materia de inversiones, a través de las negociaciones deberán elaborarse, según proceda, las disposiciones adicionales que pudieran ser necesarias para evitar tales efectos negativos sobre el comercio";</w:t>
      </w:r>
    </w:p>
    <w:p w14:paraId="2AF0DAB9"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i/>
          <w:color w:val="131413"/>
          <w:szCs w:val="20"/>
        </w:rPr>
        <w:t>Deseando</w:t>
      </w:r>
      <w:r w:rsidRPr="00CB7EBE">
        <w:t xml:space="preserve"> </w:t>
      </w:r>
      <w:r w:rsidRPr="001A3B64">
        <w:rPr>
          <w:rFonts w:eastAsia="Times New Roman" w:cs="Times New Roman"/>
          <w:color w:val="131413"/>
          <w:szCs w:val="20"/>
        </w:rPr>
        <w:t>promover la expansión y la liberalización progresiva del comercio mundial y facilitar las inversiones a través de las fronteras internacionales para fomentar el crecimiento económico de todos los interlocutores comerciales, en particular de los países en desarrollo Miembros, asegurando al mismo tiempo la libre competencia;</w:t>
      </w:r>
    </w:p>
    <w:p w14:paraId="7503A9EB"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i/>
          <w:color w:val="131413"/>
          <w:szCs w:val="20"/>
        </w:rPr>
        <w:t xml:space="preserve">Tomando en </w:t>
      </w:r>
      <w:r w:rsidRPr="001A3B64">
        <w:rPr>
          <w:i/>
        </w:rPr>
        <w:t>consideración</w:t>
      </w:r>
      <w:r w:rsidRPr="00CB7EBE">
        <w:t xml:space="preserve"> </w:t>
      </w:r>
      <w:r w:rsidRPr="001A3B64">
        <w:rPr>
          <w:rFonts w:eastAsia="Times New Roman" w:cs="Times New Roman"/>
          <w:color w:val="131413"/>
          <w:szCs w:val="20"/>
        </w:rPr>
        <w:t>las particulares necesidades comerciales, de desarrollo y financieras de los países en desarrollo Miembros, especialmente las de los países menos adelantados Miembros;</w:t>
      </w:r>
    </w:p>
    <w:p w14:paraId="289A9DD9"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i/>
          <w:color w:val="131413"/>
          <w:szCs w:val="20"/>
        </w:rPr>
        <w:t>Reconociendo</w:t>
      </w:r>
      <w:r w:rsidRPr="00CB7EBE">
        <w:t xml:space="preserve"> </w:t>
      </w:r>
      <w:r w:rsidRPr="001A3B64">
        <w:rPr>
          <w:rFonts w:eastAsia="Times New Roman" w:cs="Times New Roman"/>
          <w:color w:val="131413"/>
          <w:szCs w:val="20"/>
        </w:rPr>
        <w:t xml:space="preserve">que </w:t>
      </w:r>
      <w:r w:rsidRPr="001A3B64">
        <w:rPr>
          <w:i/>
        </w:rPr>
        <w:t>ciertas</w:t>
      </w:r>
      <w:r w:rsidRPr="001A3B64">
        <w:rPr>
          <w:rFonts w:eastAsia="Times New Roman" w:cs="Times New Roman"/>
          <w:color w:val="131413"/>
          <w:szCs w:val="20"/>
        </w:rPr>
        <w:t xml:space="preserve"> medidas en materia de inversiones pueden causar efectos de restricción y distorsión del comercio;</w:t>
      </w:r>
    </w:p>
    <w:p w14:paraId="4EA662E0" w14:textId="77777777" w:rsidR="00126225" w:rsidRPr="001A3B64" w:rsidRDefault="00126225" w:rsidP="003F5D7D">
      <w:pPr>
        <w:spacing w:after="240"/>
        <w:ind w:firstLine="567"/>
        <w:rPr>
          <w:rFonts w:eastAsia="Times New Roman" w:cs="Times New Roman"/>
        </w:rPr>
      </w:pPr>
      <w:r w:rsidRPr="001A3B64">
        <w:rPr>
          <w:rFonts w:eastAsia="Times New Roman" w:cs="Times New Roman"/>
          <w:i/>
          <w:color w:val="131413"/>
        </w:rPr>
        <w:t>Convienen</w:t>
      </w:r>
      <w:r w:rsidRPr="00CB7EBE">
        <w:t xml:space="preserve"> </w:t>
      </w:r>
      <w:r w:rsidRPr="001A3B64">
        <w:rPr>
          <w:rFonts w:eastAsia="Times New Roman" w:cs="Times New Roman"/>
          <w:color w:val="131413"/>
        </w:rPr>
        <w:t>en lo siguiente:</w:t>
      </w:r>
    </w:p>
    <w:p w14:paraId="602C0B6E" w14:textId="77777777" w:rsidR="00126225" w:rsidRPr="001A3B64" w:rsidRDefault="00126225" w:rsidP="003F5D7D">
      <w:pPr>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1</w:t>
      </w:r>
    </w:p>
    <w:p w14:paraId="14BF75EC"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Ámbito de aplicación</w:t>
      </w:r>
    </w:p>
    <w:p w14:paraId="101B94FC"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color w:val="131413"/>
          <w:szCs w:val="20"/>
        </w:rPr>
        <w:t>El presente Acuerdo se aplica únicamente a las medidas en materia de inversiones relacionadas con el comercio de mercancías (denominadas en el presente Acuerdo "MIC").</w:t>
      </w:r>
    </w:p>
    <w:p w14:paraId="0D2F4E82" w14:textId="77777777" w:rsidR="00126225" w:rsidRPr="001A3B64" w:rsidRDefault="00126225" w:rsidP="003F5D7D">
      <w:pPr>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2</w:t>
      </w:r>
    </w:p>
    <w:p w14:paraId="6AE38539"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Trato nacional y restricciones cuantitativas</w:t>
      </w:r>
    </w:p>
    <w:p w14:paraId="357ADE28"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1.</w:t>
      </w:r>
      <w:r w:rsidRPr="001A3B64">
        <w:rPr>
          <w:rFonts w:eastAsia="Times New Roman" w:cs="Times New Roman"/>
          <w:color w:val="131413"/>
        </w:rPr>
        <w:tab/>
        <w:t>Sin perjuicio de los demás derechos y obligaciones dimanantes del GATT de</w:t>
      </w:r>
      <w:r w:rsidR="00647F61" w:rsidRPr="001A3B64">
        <w:rPr>
          <w:rFonts w:eastAsia="Times New Roman" w:cs="Times New Roman"/>
          <w:color w:val="131413"/>
        </w:rPr>
        <w:t xml:space="preserve"> </w:t>
      </w:r>
      <w:r w:rsidRPr="001A3B64">
        <w:rPr>
          <w:rFonts w:eastAsia="Times New Roman" w:cs="Times New Roman"/>
          <w:color w:val="131413"/>
        </w:rPr>
        <w:t>1994, ningún Miembro aplicará ninguna MIC que sea incompatible con las disposiciones de los artículos III u XI del GATT de</w:t>
      </w:r>
      <w:r w:rsidR="00647F61" w:rsidRPr="001A3B64">
        <w:rPr>
          <w:rFonts w:eastAsia="Times New Roman" w:cs="Times New Roman"/>
          <w:color w:val="131413"/>
        </w:rPr>
        <w:t xml:space="preserve"> </w:t>
      </w:r>
      <w:r w:rsidRPr="001A3B64">
        <w:rPr>
          <w:rFonts w:eastAsia="Times New Roman" w:cs="Times New Roman"/>
          <w:color w:val="131413"/>
        </w:rPr>
        <w:t>1994.</w:t>
      </w:r>
    </w:p>
    <w:p w14:paraId="45A98783"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2.</w:t>
      </w:r>
      <w:r w:rsidRPr="001A3B64">
        <w:rPr>
          <w:rFonts w:eastAsia="Times New Roman" w:cs="Times New Roman"/>
          <w:color w:val="131413"/>
        </w:rPr>
        <w:tab/>
        <w:t>En el Anexo del presente Acuerdo figura una lista ilustrativa de las MIC que son incompatibles con la obligación de trato nacional, prevista en el párrafo 4 del artículo III del GATT de</w:t>
      </w:r>
      <w:r w:rsidR="00647F61" w:rsidRPr="001A3B64">
        <w:rPr>
          <w:rFonts w:eastAsia="Times New Roman" w:cs="Times New Roman"/>
          <w:color w:val="131413"/>
        </w:rPr>
        <w:t xml:space="preserve"> </w:t>
      </w:r>
      <w:r w:rsidRPr="001A3B64">
        <w:rPr>
          <w:rFonts w:eastAsia="Times New Roman" w:cs="Times New Roman"/>
          <w:color w:val="131413"/>
        </w:rPr>
        <w:t>1994, y con la obligación de eliminación general de las restricciones cuantitativas, prevista en el párrafo 1 del artículo XI del mismo GATT de</w:t>
      </w:r>
      <w:r w:rsidR="00647F61" w:rsidRPr="001A3B64">
        <w:rPr>
          <w:rFonts w:eastAsia="Times New Roman" w:cs="Times New Roman"/>
          <w:color w:val="131413"/>
        </w:rPr>
        <w:t xml:space="preserve"> </w:t>
      </w:r>
      <w:r w:rsidRPr="001A3B64">
        <w:rPr>
          <w:rFonts w:eastAsia="Times New Roman" w:cs="Times New Roman"/>
          <w:color w:val="131413"/>
        </w:rPr>
        <w:t>1994.</w:t>
      </w:r>
    </w:p>
    <w:p w14:paraId="13C08469" w14:textId="77777777" w:rsidR="00126225" w:rsidRPr="001A3B64" w:rsidRDefault="00126225" w:rsidP="003F5D7D">
      <w:pPr>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3</w:t>
      </w:r>
    </w:p>
    <w:p w14:paraId="5BA45F20"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Excepciones</w:t>
      </w:r>
    </w:p>
    <w:p w14:paraId="4BE22431"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color w:val="131413"/>
          <w:szCs w:val="20"/>
        </w:rPr>
        <w:t>Todas las excepciones amparadas en el GATT de</w:t>
      </w:r>
      <w:r w:rsidR="00647F61" w:rsidRPr="001A3B64">
        <w:rPr>
          <w:rFonts w:eastAsia="Times New Roman" w:cs="Times New Roman"/>
          <w:color w:val="131413"/>
          <w:szCs w:val="20"/>
        </w:rPr>
        <w:t xml:space="preserve"> </w:t>
      </w:r>
      <w:r w:rsidRPr="001A3B64">
        <w:rPr>
          <w:rFonts w:eastAsia="Times New Roman" w:cs="Times New Roman"/>
          <w:color w:val="131413"/>
          <w:szCs w:val="20"/>
        </w:rPr>
        <w:t>1994 serán de aplicación, según proceda, a las disposiciones del presente Acuerdo.</w:t>
      </w:r>
    </w:p>
    <w:p w14:paraId="3D935646" w14:textId="77777777" w:rsidR="00126225" w:rsidRPr="001A3B64" w:rsidRDefault="00126225" w:rsidP="003F5D7D">
      <w:pPr>
        <w:keepNext/>
        <w:autoSpaceDE w:val="0"/>
        <w:autoSpaceDN w:val="0"/>
        <w:spacing w:before="480" w:after="240"/>
        <w:jc w:val="center"/>
        <w:outlineLvl w:val="3"/>
        <w:rPr>
          <w:rFonts w:eastAsia="Times New Roman" w:cs="Times New Roman"/>
          <w:i/>
        </w:rPr>
      </w:pPr>
      <w:r w:rsidRPr="001A3B64">
        <w:rPr>
          <w:rFonts w:eastAsia="Times New Roman" w:cs="Times New Roman"/>
          <w:i/>
          <w:color w:val="131413"/>
        </w:rPr>
        <w:lastRenderedPageBreak/>
        <w:t>Artículo 4</w:t>
      </w:r>
    </w:p>
    <w:p w14:paraId="5861998A" w14:textId="77777777" w:rsidR="00126225" w:rsidRPr="001A3B64" w:rsidRDefault="00126225" w:rsidP="003F5D7D">
      <w:pPr>
        <w:keepNext/>
        <w:autoSpaceDE w:val="0"/>
        <w:autoSpaceDN w:val="0"/>
        <w:spacing w:after="240"/>
        <w:jc w:val="center"/>
        <w:rPr>
          <w:rFonts w:eastAsia="Times New Roman" w:cs="Times New Roman"/>
          <w:i/>
        </w:rPr>
      </w:pPr>
      <w:r w:rsidRPr="001A3B64">
        <w:rPr>
          <w:rFonts w:eastAsia="Times New Roman" w:cs="Times New Roman"/>
          <w:i/>
          <w:color w:val="131413"/>
        </w:rPr>
        <w:t>Países en desarrollo Miembros</w:t>
      </w:r>
    </w:p>
    <w:p w14:paraId="334C225E" w14:textId="7696C86D" w:rsidR="00126225" w:rsidRPr="001A3B64" w:rsidRDefault="00126225" w:rsidP="003F5D7D">
      <w:pPr>
        <w:spacing w:after="240"/>
        <w:ind w:firstLine="567"/>
        <w:rPr>
          <w:rFonts w:eastAsia="Times New Roman" w:cs="Times New Roman"/>
          <w:szCs w:val="20"/>
        </w:rPr>
      </w:pPr>
      <w:r w:rsidRPr="001A3B64">
        <w:rPr>
          <w:rFonts w:eastAsia="Times New Roman" w:cs="Times New Roman"/>
          <w:color w:val="131413"/>
          <w:szCs w:val="20"/>
        </w:rPr>
        <w:t>Cualquier país en desarrollo Miembro tendrá libertad para desviarse temporalmente de lo dispuesto en el artículo 2 en la medida y de la manera en que el artículo XVIII del GATT de</w:t>
      </w:r>
      <w:r w:rsidR="00647F61" w:rsidRPr="001A3B64">
        <w:rPr>
          <w:rFonts w:eastAsia="Times New Roman" w:cs="Times New Roman"/>
          <w:color w:val="131413"/>
          <w:szCs w:val="20"/>
        </w:rPr>
        <w:t xml:space="preserve"> </w:t>
      </w:r>
      <w:r w:rsidRPr="001A3B64">
        <w:rPr>
          <w:rFonts w:eastAsia="Times New Roman" w:cs="Times New Roman"/>
          <w:color w:val="131413"/>
          <w:szCs w:val="20"/>
        </w:rPr>
        <w:t xml:space="preserve">1994, el Entendimiento relativo a las disposiciones del </w:t>
      </w:r>
      <w:r w:rsidRPr="001A3B64">
        <w:rPr>
          <w:rFonts w:eastAsia="Times New Roman" w:cs="Times New Roman"/>
          <w:color w:val="131413"/>
        </w:rPr>
        <w:t>GATT</w:t>
      </w:r>
      <w:r w:rsidRPr="001A3B64">
        <w:rPr>
          <w:rFonts w:eastAsia="Times New Roman" w:cs="Times New Roman"/>
          <w:color w:val="131413"/>
          <w:szCs w:val="20"/>
        </w:rPr>
        <w:t xml:space="preserve"> de</w:t>
      </w:r>
      <w:r w:rsidR="00647F61" w:rsidRPr="001A3B64">
        <w:rPr>
          <w:rFonts w:eastAsia="Times New Roman" w:cs="Times New Roman"/>
          <w:color w:val="131413"/>
          <w:szCs w:val="20"/>
        </w:rPr>
        <w:t xml:space="preserve"> </w:t>
      </w:r>
      <w:r w:rsidRPr="001A3B64">
        <w:rPr>
          <w:rFonts w:eastAsia="Times New Roman" w:cs="Times New Roman"/>
          <w:color w:val="131413"/>
          <w:szCs w:val="20"/>
        </w:rPr>
        <w:t>1994 en materia de balanza de pagos y la Declaración sobre las medidas comerciales adoptadas por motivos de balanza de pagos, tomada el</w:t>
      </w:r>
      <w:r w:rsidR="003F5D7D">
        <w:rPr>
          <w:rFonts w:eastAsia="Times New Roman" w:cs="Times New Roman"/>
          <w:color w:val="131413"/>
          <w:szCs w:val="20"/>
        </w:rPr>
        <w:t> </w:t>
      </w:r>
      <w:r w:rsidRPr="001A3B64">
        <w:rPr>
          <w:rFonts w:eastAsia="Times New Roman" w:cs="Times New Roman"/>
          <w:color w:val="131413"/>
          <w:szCs w:val="20"/>
        </w:rPr>
        <w:t>28 de noviembre de</w:t>
      </w:r>
      <w:r w:rsidR="00647F61" w:rsidRPr="001A3B64">
        <w:rPr>
          <w:rFonts w:eastAsia="Times New Roman" w:cs="Times New Roman"/>
          <w:color w:val="131413"/>
          <w:szCs w:val="20"/>
        </w:rPr>
        <w:t xml:space="preserve"> </w:t>
      </w:r>
      <w:r w:rsidRPr="001A3B64">
        <w:rPr>
          <w:rFonts w:eastAsia="Times New Roman" w:cs="Times New Roman"/>
          <w:color w:val="131413"/>
          <w:szCs w:val="20"/>
        </w:rPr>
        <w:t>1979 (IBDD</w:t>
      </w:r>
      <w:r w:rsidR="00647F61" w:rsidRPr="001A3B64">
        <w:rPr>
          <w:rFonts w:eastAsia="Times New Roman" w:cs="Times New Roman"/>
          <w:color w:val="131413"/>
          <w:szCs w:val="20"/>
        </w:rPr>
        <w:t xml:space="preserve"> </w:t>
      </w:r>
      <w:r w:rsidRPr="001A3B64">
        <w:rPr>
          <w:rFonts w:eastAsia="Times New Roman" w:cs="Times New Roman"/>
          <w:color w:val="131413"/>
          <w:szCs w:val="20"/>
        </w:rPr>
        <w:t>26S/223-227), permitan al Miembro de que se trate desviarse de las disposiciones de los artículos III y XI del mismo GATT de</w:t>
      </w:r>
      <w:r w:rsidR="00647F61" w:rsidRPr="001A3B64">
        <w:rPr>
          <w:rFonts w:eastAsia="Times New Roman" w:cs="Times New Roman"/>
          <w:color w:val="131413"/>
          <w:szCs w:val="20"/>
        </w:rPr>
        <w:t xml:space="preserve"> </w:t>
      </w:r>
      <w:r w:rsidRPr="001A3B64">
        <w:rPr>
          <w:rFonts w:eastAsia="Times New Roman" w:cs="Times New Roman"/>
          <w:color w:val="131413"/>
          <w:szCs w:val="20"/>
        </w:rPr>
        <w:t>1994.</w:t>
      </w:r>
    </w:p>
    <w:p w14:paraId="0ACF44D2" w14:textId="77777777" w:rsidR="00126225" w:rsidRPr="001A3B64" w:rsidRDefault="00126225" w:rsidP="003F5D7D">
      <w:pPr>
        <w:keepNext/>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5</w:t>
      </w:r>
    </w:p>
    <w:p w14:paraId="4C8FE981" w14:textId="77777777" w:rsidR="00126225" w:rsidRPr="001A3B64" w:rsidRDefault="00126225" w:rsidP="003F5D7D">
      <w:pPr>
        <w:keepNext/>
        <w:autoSpaceDE w:val="0"/>
        <w:autoSpaceDN w:val="0"/>
        <w:spacing w:after="240"/>
        <w:jc w:val="center"/>
        <w:rPr>
          <w:rFonts w:eastAsia="Times New Roman" w:cs="Times New Roman"/>
          <w:i/>
        </w:rPr>
      </w:pPr>
      <w:r w:rsidRPr="001A3B64">
        <w:rPr>
          <w:rFonts w:eastAsia="Times New Roman" w:cs="Times New Roman"/>
          <w:i/>
          <w:color w:val="131413"/>
        </w:rPr>
        <w:t>Notificación y disposiciones transitorias</w:t>
      </w:r>
    </w:p>
    <w:p w14:paraId="47FDE310" w14:textId="77D2F3CD" w:rsidR="00126225" w:rsidRPr="001A3B64" w:rsidRDefault="00126225" w:rsidP="003F5D7D">
      <w:pPr>
        <w:spacing w:after="240"/>
        <w:rPr>
          <w:rFonts w:eastAsia="Times New Roman" w:cs="Times New Roman"/>
        </w:rPr>
      </w:pPr>
      <w:r w:rsidRPr="001A3B64">
        <w:rPr>
          <w:rFonts w:eastAsia="Times New Roman" w:cs="Times New Roman"/>
          <w:color w:val="131413"/>
        </w:rPr>
        <w:t>1.</w:t>
      </w:r>
      <w:r w:rsidRPr="001A3B64">
        <w:rPr>
          <w:rFonts w:eastAsia="Times New Roman" w:cs="Times New Roman"/>
          <w:color w:val="131413"/>
        </w:rPr>
        <w:tab/>
        <w:t>Dentro de los 90 días siguientes a la fecha de entrada en vigor del Acuerdo sobre la OMC, los Miembros notificarán al Consejo del Comercio de Mercancías todas las MIC que tengan en aplicación y que no estén en conformidad con las disposiciones del presente Acuerdo. Se notificarán dichas</w:t>
      </w:r>
      <w:r w:rsidR="00314B31">
        <w:rPr>
          <w:rFonts w:eastAsia="Times New Roman" w:cs="Times New Roman"/>
          <w:color w:val="131413"/>
        </w:rPr>
        <w:t> </w:t>
      </w:r>
      <w:r w:rsidRPr="001A3B64">
        <w:rPr>
          <w:rFonts w:eastAsia="Times New Roman" w:cs="Times New Roman"/>
          <w:color w:val="131413"/>
        </w:rPr>
        <w:t>MIC, sean de aplicación general o específica, con indicación de sus características principales.</w:t>
      </w:r>
      <w:r w:rsidRPr="001A3B64">
        <w:rPr>
          <w:rStyle w:val="FootnoteReference"/>
          <w:rFonts w:eastAsia="Times New Roman" w:cs="Times New Roman"/>
          <w:color w:val="131413"/>
        </w:rPr>
        <w:footnoteReference w:id="1"/>
      </w:r>
    </w:p>
    <w:p w14:paraId="71FCB78C"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2.</w:t>
      </w:r>
      <w:r w:rsidRPr="001A3B64">
        <w:rPr>
          <w:rFonts w:eastAsia="Times New Roman" w:cs="Times New Roman"/>
          <w:color w:val="131413"/>
        </w:rPr>
        <w:tab/>
        <w:t>Cada Miembro eliminará todas las MIC que haya notificado en virtud del párrafo 1, en un plazo de dos años contados a partir de la fecha de entrada en vigor del Acuerdo sobre la OMC en el caso de los países desarrollados Miembros, de cinco años en el caso de los países en desarrollo Miembros y de siete años en el caso de los países menos adelantados Miembros.</w:t>
      </w:r>
    </w:p>
    <w:p w14:paraId="071A74CB"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3.</w:t>
      </w:r>
      <w:r w:rsidRPr="001A3B64">
        <w:rPr>
          <w:rFonts w:eastAsia="Times New Roman" w:cs="Times New Roman"/>
          <w:color w:val="131413"/>
        </w:rPr>
        <w:tab/>
        <w:t>El Consejo del Comercio de Mercancías podrá, previa petición, prorrogar el período de transición para la eliminación de las MIC notificadas en virtud del párrafo 1 en el caso de los países en desarrollo Miembros, con inclusión de los países menos adelantados Miembros, que demuestren que tropiezan con particulares dificultades para la aplicación de las disposiciones del presente Acuerdo. Al examinar una petición a tal efecto, el Consejo del Comercio de Mercancías tomará en consideración las necesidades individuales del Miembro de que se trate en materia de desarrollo, finanzas y comercio.</w:t>
      </w:r>
    </w:p>
    <w:p w14:paraId="1CFF37D6" w14:textId="77777777" w:rsidR="00126225" w:rsidRPr="001A3B64" w:rsidRDefault="00126225" w:rsidP="003F5D7D">
      <w:pPr>
        <w:spacing w:after="240"/>
        <w:rPr>
          <w:rFonts w:eastAsia="Times New Roman" w:cs="Times New Roman"/>
          <w:szCs w:val="20"/>
        </w:rPr>
      </w:pPr>
      <w:r w:rsidRPr="001A3B64">
        <w:rPr>
          <w:rFonts w:eastAsia="Times New Roman" w:cs="Times New Roman"/>
          <w:color w:val="131413"/>
        </w:rPr>
        <w:t>4.</w:t>
      </w:r>
      <w:r w:rsidRPr="001A3B64">
        <w:rPr>
          <w:rFonts w:eastAsia="Times New Roman" w:cs="Times New Roman"/>
          <w:color w:val="131413"/>
        </w:rPr>
        <w:tab/>
        <w:t xml:space="preserve">Durante el período de transición, ningún Miembro modificará los términos vigentes en la fecha de entrada en vigor del Acuerdo sobre la OMC de cualquier MIC que haya notificado en virtud del párrafo 1 de manera que aumente el grado </w:t>
      </w:r>
      <w:r w:rsidRPr="001A3B64">
        <w:rPr>
          <w:rFonts w:eastAsia="Times New Roman" w:cs="Times New Roman"/>
          <w:color w:val="131413"/>
          <w:szCs w:val="20"/>
        </w:rPr>
        <w:t>de incompatibilidad de la medida con las disposiciones del artículo 2. Las disposiciones transitorias establecidas en el párrafo 2 no ampararán a las MIC introducidas menos de 180 días antes de la fecha de entrada en vigor del Acuerdo sobre la OMC.</w:t>
      </w:r>
    </w:p>
    <w:p w14:paraId="060DC70A"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5.</w:t>
      </w:r>
      <w:r w:rsidRPr="001A3B64">
        <w:rPr>
          <w:rFonts w:eastAsia="Times New Roman" w:cs="Times New Roman"/>
          <w:color w:val="131413"/>
        </w:rPr>
        <w:tab/>
        <w:t>No obstante las disposiciones del artículo 2, y con objeto de que no queden en desventaja las empresas establecidas que estén sujetas a una MIC notificada en virtud del párrafo 1, un Miembro podrá aplicar durante el período de transición la misma MIC a una nueva inversión: i) cuando los productos de dicha inversión sean similares a los de las empresas establecidas, y ii) cuando ello sea necesario para evitar la distorsión de las condiciones de competencia entre la nueva inversión y las empresas establecidas. Se notificará al Consejo del Comercio de Mercancías toda MIC aplicada de ese modo a una nueva inversión. Los términos de dicha MIC serán equivalentes, en cuanto a su efecto sobre la competencia, a los aplicables a las empresas establecidas, y su vigencia cesará al mismo tiempo.</w:t>
      </w:r>
    </w:p>
    <w:p w14:paraId="59998A3F" w14:textId="77777777" w:rsidR="00126225" w:rsidRPr="001A3B64" w:rsidRDefault="00126225" w:rsidP="009A5F34">
      <w:pPr>
        <w:keepNext/>
        <w:autoSpaceDE w:val="0"/>
        <w:autoSpaceDN w:val="0"/>
        <w:spacing w:before="480" w:after="240"/>
        <w:jc w:val="center"/>
        <w:outlineLvl w:val="3"/>
        <w:rPr>
          <w:rFonts w:eastAsia="Times New Roman" w:cs="Times New Roman"/>
          <w:i/>
        </w:rPr>
      </w:pPr>
      <w:r w:rsidRPr="001A3B64">
        <w:rPr>
          <w:rFonts w:eastAsia="Times New Roman" w:cs="Times New Roman"/>
          <w:i/>
          <w:color w:val="131413"/>
        </w:rPr>
        <w:lastRenderedPageBreak/>
        <w:t>Artículo 6</w:t>
      </w:r>
    </w:p>
    <w:p w14:paraId="725974E4" w14:textId="77777777" w:rsidR="00126225" w:rsidRPr="001A3B64" w:rsidRDefault="00126225" w:rsidP="009A5F34">
      <w:pPr>
        <w:keepNext/>
        <w:autoSpaceDE w:val="0"/>
        <w:autoSpaceDN w:val="0"/>
        <w:spacing w:after="240"/>
        <w:jc w:val="center"/>
        <w:rPr>
          <w:rFonts w:eastAsia="Times New Roman" w:cs="Times New Roman"/>
          <w:i/>
        </w:rPr>
      </w:pPr>
      <w:r w:rsidRPr="001A3B64">
        <w:rPr>
          <w:rFonts w:eastAsia="Times New Roman" w:cs="Times New Roman"/>
          <w:i/>
          <w:color w:val="131413"/>
        </w:rPr>
        <w:t>Transparencia</w:t>
      </w:r>
    </w:p>
    <w:p w14:paraId="6CE63F25" w14:textId="77777777" w:rsidR="00126225" w:rsidRPr="001A3B64" w:rsidRDefault="00126225" w:rsidP="009A5F34">
      <w:pPr>
        <w:keepLines/>
        <w:spacing w:after="240"/>
        <w:rPr>
          <w:rFonts w:eastAsia="Times New Roman" w:cs="Times New Roman"/>
        </w:rPr>
      </w:pPr>
      <w:r w:rsidRPr="001A3B64">
        <w:rPr>
          <w:rFonts w:eastAsia="Times New Roman" w:cs="Times New Roman"/>
          <w:color w:val="131413"/>
        </w:rPr>
        <w:t>1.</w:t>
      </w:r>
      <w:r w:rsidRPr="001A3B64">
        <w:rPr>
          <w:rFonts w:eastAsia="Times New Roman" w:cs="Times New Roman"/>
          <w:color w:val="131413"/>
        </w:rPr>
        <w:tab/>
        <w:t>Los Miembros reafirman, con respecto a las MIC, su compromiso de cumplir las obligaciones sobre transparencia y notificación estipuladas en el artículo X del GATT de</w:t>
      </w:r>
      <w:r w:rsidR="00647F61" w:rsidRPr="001A3B64">
        <w:rPr>
          <w:rFonts w:eastAsia="Times New Roman" w:cs="Times New Roman"/>
          <w:color w:val="131413"/>
        </w:rPr>
        <w:t xml:space="preserve"> </w:t>
      </w:r>
      <w:r w:rsidRPr="001A3B64">
        <w:rPr>
          <w:rFonts w:eastAsia="Times New Roman" w:cs="Times New Roman"/>
          <w:color w:val="131413"/>
        </w:rPr>
        <w:t>1994, en el compromiso sobre "Notificación" recogido en el Entendimiento relativo a las notificaciones, las consultas, la solución de diferencias y la vigilancia adoptado el 28 de noviembre de</w:t>
      </w:r>
      <w:r w:rsidR="00647F61" w:rsidRPr="001A3B64">
        <w:rPr>
          <w:rFonts w:eastAsia="Times New Roman" w:cs="Times New Roman"/>
          <w:color w:val="131413"/>
        </w:rPr>
        <w:t xml:space="preserve"> </w:t>
      </w:r>
      <w:r w:rsidRPr="001A3B64">
        <w:rPr>
          <w:rFonts w:eastAsia="Times New Roman" w:cs="Times New Roman"/>
          <w:color w:val="131413"/>
        </w:rPr>
        <w:t>1979 y en la Decisión Ministerial sobre Procedimientos de Notificación adoptada el 15 de abril de</w:t>
      </w:r>
      <w:r w:rsidR="00647F61" w:rsidRPr="001A3B64">
        <w:rPr>
          <w:rFonts w:eastAsia="Times New Roman" w:cs="Times New Roman"/>
          <w:color w:val="131413"/>
        </w:rPr>
        <w:t xml:space="preserve"> </w:t>
      </w:r>
      <w:r w:rsidRPr="001A3B64">
        <w:rPr>
          <w:rFonts w:eastAsia="Times New Roman" w:cs="Times New Roman"/>
          <w:color w:val="131413"/>
        </w:rPr>
        <w:t>1994.</w:t>
      </w:r>
    </w:p>
    <w:p w14:paraId="58115312"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2.</w:t>
      </w:r>
      <w:r w:rsidRPr="001A3B64">
        <w:rPr>
          <w:rFonts w:eastAsia="Times New Roman" w:cs="Times New Roman"/>
          <w:color w:val="131413"/>
        </w:rPr>
        <w:tab/>
        <w:t>Cada Miembro notificará a la Secretaría las publicaciones en que figuren las MIC, incluso las aplicadas por los gobiernos o autoridades regionales y locales dentro de su territorio.</w:t>
      </w:r>
    </w:p>
    <w:p w14:paraId="2BACB148"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3.</w:t>
      </w:r>
      <w:r w:rsidRPr="001A3B64">
        <w:rPr>
          <w:rFonts w:eastAsia="Times New Roman" w:cs="Times New Roman"/>
          <w:color w:val="131413"/>
        </w:rPr>
        <w:tab/>
        <w:t>Cada Miembro examinará con comprensión las solicitudes de información sobre cualquier cuestión derivada del presente Acuerdo que plantee otro Miembro y brindará oportunidades adecuadas para la celebración de consultas al respecto. De conformidad con el artículo X del GATT de</w:t>
      </w:r>
      <w:r w:rsidR="00647F61" w:rsidRPr="001A3B64">
        <w:rPr>
          <w:rFonts w:eastAsia="Times New Roman" w:cs="Times New Roman"/>
          <w:color w:val="131413"/>
        </w:rPr>
        <w:t xml:space="preserve"> </w:t>
      </w:r>
      <w:r w:rsidRPr="001A3B64">
        <w:rPr>
          <w:rFonts w:eastAsia="Times New Roman" w:cs="Times New Roman"/>
          <w:color w:val="131413"/>
        </w:rPr>
        <w:t>1994, ningún Miembro estará obligado a revelar informaciones cuya divulgación pueda constituir un obstáculo para el cumplimiento de las leyes o ser de otra manera contraria al interés público o pueda lesionar intereses comerciales legítimos de empresas públicas o privadas.</w:t>
      </w:r>
    </w:p>
    <w:p w14:paraId="1B19E589" w14:textId="77777777" w:rsidR="00126225" w:rsidRPr="001A3B64" w:rsidRDefault="00126225" w:rsidP="00765F44">
      <w:pPr>
        <w:keepNext/>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7</w:t>
      </w:r>
    </w:p>
    <w:p w14:paraId="4B876C18" w14:textId="3E6A5868"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 xml:space="preserve">Comité de Medidas en materia de Inversiones </w:t>
      </w:r>
      <w:r w:rsidR="00765F44">
        <w:rPr>
          <w:rFonts w:eastAsia="Times New Roman" w:cs="Times New Roman"/>
          <w:i/>
          <w:color w:val="131413"/>
        </w:rPr>
        <w:br/>
      </w:r>
      <w:r w:rsidRPr="001A3B64">
        <w:rPr>
          <w:rFonts w:eastAsia="Times New Roman" w:cs="Times New Roman"/>
          <w:i/>
          <w:color w:val="131413"/>
        </w:rPr>
        <w:t>relacionadas con el Comercio</w:t>
      </w:r>
    </w:p>
    <w:p w14:paraId="254ABED2"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1.</w:t>
      </w:r>
      <w:r w:rsidRPr="001A3B64">
        <w:rPr>
          <w:rFonts w:eastAsia="Times New Roman" w:cs="Times New Roman"/>
          <w:color w:val="131413"/>
        </w:rPr>
        <w:tab/>
        <w:t>En virtud del presente Acuerdo se establece un Comité de Medidas en materia de Inversiones relacionadas con el Comercio (denominado en el presente Acuerdo el "Comité"), del que podrán formar parte todos los Miembros. El Comité elegirá a su Presidente y a su Vicepresidente y se reunirá por lo menos una vez al año, así como cuando lo pida cualquier Miembro.</w:t>
      </w:r>
    </w:p>
    <w:p w14:paraId="3F87398F"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2.</w:t>
      </w:r>
      <w:r w:rsidRPr="001A3B64">
        <w:rPr>
          <w:rFonts w:eastAsia="Times New Roman" w:cs="Times New Roman"/>
          <w:color w:val="131413"/>
        </w:rPr>
        <w:tab/>
        <w:t>El Comité desempeñará las funciones que le atribuya el Consejo del Comercio de Mercancías y brindará a los Miembros la oportunidad de consultarse</w:t>
      </w:r>
      <w:r w:rsidRPr="001A3B64">
        <w:rPr>
          <w:rFonts w:eastAsia="Times New Roman" w:cs="Times New Roman"/>
        </w:rPr>
        <w:t xml:space="preserve"> </w:t>
      </w:r>
      <w:r w:rsidRPr="001A3B64">
        <w:rPr>
          <w:rFonts w:eastAsia="Times New Roman" w:cs="Times New Roman"/>
          <w:color w:val="131413"/>
          <w:szCs w:val="20"/>
        </w:rPr>
        <w:t>sobre cualquier cuestión relativa al funcionamiento y la aplicación del presente Acuerdo.</w:t>
      </w:r>
    </w:p>
    <w:p w14:paraId="41B7F06D"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3.</w:t>
      </w:r>
      <w:r w:rsidRPr="001A3B64">
        <w:rPr>
          <w:rFonts w:eastAsia="Times New Roman" w:cs="Times New Roman"/>
          <w:color w:val="131413"/>
        </w:rPr>
        <w:tab/>
        <w:t>El Comité vigilará el funcionamiento y la aplicación del presente Acuerdo y rendirá anualmente el correspondiente informe al Consejo del Comercio de Mercancías.</w:t>
      </w:r>
    </w:p>
    <w:p w14:paraId="488F5865" w14:textId="77777777" w:rsidR="00126225" w:rsidRPr="001A3B64" w:rsidRDefault="00126225" w:rsidP="00765F44">
      <w:pPr>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8</w:t>
      </w:r>
    </w:p>
    <w:p w14:paraId="3E3EE984"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Consultas y solución de diferencias</w:t>
      </w:r>
    </w:p>
    <w:p w14:paraId="0E914A18" w14:textId="77777777" w:rsidR="00126225" w:rsidRPr="001A3B64" w:rsidRDefault="00126225" w:rsidP="003F5D7D">
      <w:pPr>
        <w:spacing w:after="240"/>
        <w:ind w:firstLine="567"/>
        <w:rPr>
          <w:rFonts w:eastAsia="Times New Roman" w:cs="Times New Roman"/>
          <w:szCs w:val="20"/>
        </w:rPr>
      </w:pPr>
      <w:r w:rsidRPr="001A3B64">
        <w:rPr>
          <w:rFonts w:eastAsia="Times New Roman" w:cs="Times New Roman"/>
          <w:color w:val="131413"/>
          <w:szCs w:val="20"/>
        </w:rPr>
        <w:t>Serán aplicables a las consultas y la solución de diferencias en el marco del presente Acuerdo las disposiciones de los artículos XXII y XXIII del GATT de</w:t>
      </w:r>
      <w:r w:rsidR="00647F61" w:rsidRPr="001A3B64">
        <w:rPr>
          <w:rFonts w:eastAsia="Times New Roman" w:cs="Times New Roman"/>
          <w:color w:val="131413"/>
          <w:szCs w:val="20"/>
        </w:rPr>
        <w:t xml:space="preserve"> </w:t>
      </w:r>
      <w:r w:rsidRPr="001A3B64">
        <w:rPr>
          <w:rFonts w:eastAsia="Times New Roman" w:cs="Times New Roman"/>
          <w:color w:val="131413"/>
          <w:szCs w:val="20"/>
        </w:rPr>
        <w:t>1994, desarrolladas y aplicadas en virtud del Entendimiento sobre Solución de Diferencias.</w:t>
      </w:r>
    </w:p>
    <w:p w14:paraId="76D425B9" w14:textId="77777777" w:rsidR="00126225" w:rsidRPr="001A3B64" w:rsidRDefault="00126225" w:rsidP="00765F44">
      <w:pPr>
        <w:autoSpaceDE w:val="0"/>
        <w:autoSpaceDN w:val="0"/>
        <w:spacing w:before="480" w:after="240"/>
        <w:jc w:val="center"/>
        <w:outlineLvl w:val="3"/>
        <w:rPr>
          <w:rFonts w:eastAsia="Times New Roman" w:cs="Times New Roman"/>
          <w:i/>
        </w:rPr>
      </w:pPr>
      <w:r w:rsidRPr="001A3B64">
        <w:rPr>
          <w:rFonts w:eastAsia="Times New Roman" w:cs="Times New Roman"/>
          <w:i/>
          <w:color w:val="131413"/>
        </w:rPr>
        <w:t>Artículo 9</w:t>
      </w:r>
    </w:p>
    <w:p w14:paraId="43B83473"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Examen por el Consejo del Comercio de Mercancías</w:t>
      </w:r>
    </w:p>
    <w:p w14:paraId="0CC0FE91" w14:textId="77777777" w:rsidR="00126225" w:rsidRPr="001A3B64" w:rsidRDefault="00126225" w:rsidP="00765F44">
      <w:pPr>
        <w:ind w:firstLine="567"/>
        <w:rPr>
          <w:rFonts w:eastAsia="Times New Roman" w:cs="Times New Roman"/>
          <w:szCs w:val="20"/>
        </w:rPr>
      </w:pPr>
      <w:r w:rsidRPr="001A3B64">
        <w:rPr>
          <w:rFonts w:eastAsia="Times New Roman" w:cs="Times New Roman"/>
          <w:color w:val="131413"/>
          <w:szCs w:val="20"/>
        </w:rPr>
        <w:t>A más tardar cinco años después de la fecha de entrada en vigor del Acuerdo sobre la OMC, el Consejo del Comercio de Mercancías examinará el funcionamiento del presente Acuerdo y, cuando proceda, propondrá a la Conferencia Ministerial modificaciones de su texto. En el curso de este examen, el Consejo del Comercio de Mercancías estudiará si el Acuerdo debe complementarse con disposiciones relativas a la política en materia de inversiones y competencia.</w:t>
      </w:r>
    </w:p>
    <w:p w14:paraId="62F2AB88" w14:textId="77777777" w:rsidR="00126225" w:rsidRPr="001A3B64" w:rsidRDefault="00126225" w:rsidP="003F5D7D">
      <w:pPr>
        <w:spacing w:after="240"/>
        <w:jc w:val="left"/>
        <w:rPr>
          <w:rFonts w:eastAsia="Times New Roman" w:cs="Times New Roman"/>
          <w:b/>
          <w:bCs/>
          <w:color w:val="131413"/>
        </w:rPr>
      </w:pPr>
      <w:r w:rsidRPr="001A3B64">
        <w:rPr>
          <w:rFonts w:eastAsia="Times New Roman" w:cs="Times New Roman"/>
          <w:b/>
          <w:bCs/>
          <w:color w:val="131413"/>
        </w:rPr>
        <w:br w:type="page"/>
      </w:r>
    </w:p>
    <w:p w14:paraId="12AB7CB7" w14:textId="77777777" w:rsidR="00126225" w:rsidRPr="001A3B64" w:rsidRDefault="00126225" w:rsidP="00765F44">
      <w:pPr>
        <w:autoSpaceDE w:val="0"/>
        <w:autoSpaceDN w:val="0"/>
        <w:spacing w:before="480" w:after="240"/>
        <w:jc w:val="center"/>
        <w:outlineLvl w:val="3"/>
        <w:rPr>
          <w:rFonts w:eastAsia="Times New Roman" w:cs="Times New Roman"/>
        </w:rPr>
      </w:pPr>
      <w:r w:rsidRPr="001A3B64">
        <w:rPr>
          <w:rFonts w:eastAsia="Times New Roman" w:cs="Times New Roman"/>
          <w:color w:val="131413"/>
        </w:rPr>
        <w:lastRenderedPageBreak/>
        <w:t>ANEXO</w:t>
      </w:r>
    </w:p>
    <w:p w14:paraId="57DC3911" w14:textId="77777777" w:rsidR="00126225" w:rsidRPr="001A3B64" w:rsidRDefault="00126225" w:rsidP="003F5D7D">
      <w:pPr>
        <w:autoSpaceDE w:val="0"/>
        <w:autoSpaceDN w:val="0"/>
        <w:spacing w:after="240"/>
        <w:jc w:val="center"/>
        <w:rPr>
          <w:rFonts w:eastAsia="Times New Roman" w:cs="Times New Roman"/>
          <w:i/>
        </w:rPr>
      </w:pPr>
      <w:r w:rsidRPr="001A3B64">
        <w:rPr>
          <w:rFonts w:eastAsia="Times New Roman" w:cs="Times New Roman"/>
          <w:i/>
          <w:color w:val="131413"/>
        </w:rPr>
        <w:t>Lista ilustrativa</w:t>
      </w:r>
    </w:p>
    <w:p w14:paraId="3686310B"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1.</w:t>
      </w:r>
      <w:r w:rsidRPr="001A3B64">
        <w:rPr>
          <w:rFonts w:eastAsia="Times New Roman" w:cs="Times New Roman"/>
          <w:color w:val="131413"/>
        </w:rPr>
        <w:tab/>
        <w:t>Las MIC incompatibles con la obligación de trato nacional establecida en el párrafo 4 del artículo III del GATT de</w:t>
      </w:r>
      <w:r w:rsidR="00647F61" w:rsidRPr="001A3B64">
        <w:rPr>
          <w:rFonts w:eastAsia="Times New Roman" w:cs="Times New Roman"/>
          <w:color w:val="131413"/>
        </w:rPr>
        <w:t xml:space="preserve"> </w:t>
      </w:r>
      <w:r w:rsidRPr="001A3B64">
        <w:rPr>
          <w:rFonts w:eastAsia="Times New Roman" w:cs="Times New Roman"/>
          <w:color w:val="131413"/>
        </w:rPr>
        <w:t>1994 comprenden las que sean obligatorias o exigibles en virtud de la legislación nacional o de resoluciones administrativas, o cuyo cumplimiento sea necesario para obtener una ventaja, y que prescriban:</w:t>
      </w:r>
    </w:p>
    <w:p w14:paraId="5514541A" w14:textId="77777777" w:rsidR="00126225" w:rsidRPr="001A3B64" w:rsidRDefault="00126225" w:rsidP="003F5D7D">
      <w:pPr>
        <w:autoSpaceDE w:val="0"/>
        <w:autoSpaceDN w:val="0"/>
        <w:spacing w:after="240"/>
        <w:ind w:left="1134" w:hanging="567"/>
        <w:rPr>
          <w:rFonts w:eastAsia="Times New Roman" w:cs="Times New Roman"/>
        </w:rPr>
      </w:pPr>
      <w:r w:rsidRPr="001A3B64">
        <w:rPr>
          <w:rFonts w:eastAsia="Times New Roman" w:cs="Times New Roman"/>
          <w:color w:val="131413"/>
        </w:rPr>
        <w:t>a)</w:t>
      </w:r>
      <w:r w:rsidRPr="001A3B64">
        <w:rPr>
          <w:rFonts w:eastAsia="Times New Roman" w:cs="Times New Roman"/>
          <w:color w:val="131413"/>
        </w:rPr>
        <w:tab/>
        <w:t>la compra o la utilización por una empresa de productos de origen nacional o de fuentes nacionales, ya se especifiquen en términos de productos determinados, en términos de volumen o valor de los productos, o como proporción del volumen o del valor de su producción local; o</w:t>
      </w:r>
    </w:p>
    <w:p w14:paraId="07EB52E0" w14:textId="77777777" w:rsidR="00126225" w:rsidRPr="001A3B64" w:rsidRDefault="00126225" w:rsidP="003F5D7D">
      <w:pPr>
        <w:autoSpaceDE w:val="0"/>
        <w:autoSpaceDN w:val="0"/>
        <w:spacing w:after="240"/>
        <w:ind w:left="1134" w:hanging="567"/>
        <w:rPr>
          <w:rFonts w:eastAsia="Times New Roman" w:cs="Times New Roman"/>
        </w:rPr>
      </w:pPr>
      <w:r w:rsidRPr="001A3B64">
        <w:rPr>
          <w:rFonts w:eastAsia="Times New Roman" w:cs="Times New Roman"/>
          <w:color w:val="131413"/>
        </w:rPr>
        <w:t>b)</w:t>
      </w:r>
      <w:r w:rsidRPr="001A3B64">
        <w:rPr>
          <w:rFonts w:eastAsia="Times New Roman" w:cs="Times New Roman"/>
          <w:color w:val="131413"/>
        </w:rPr>
        <w:tab/>
        <w:t>que las compras o la utilización de productos de importación por una empresa se limite a una cantidad relacionada con el volumen o el valor de los productos locales que la empresa exporte.</w:t>
      </w:r>
    </w:p>
    <w:p w14:paraId="69D6FE4A" w14:textId="77777777" w:rsidR="00126225" w:rsidRPr="001A3B64" w:rsidRDefault="00126225" w:rsidP="003F5D7D">
      <w:pPr>
        <w:spacing w:after="240"/>
        <w:rPr>
          <w:rFonts w:eastAsia="Times New Roman" w:cs="Times New Roman"/>
        </w:rPr>
      </w:pPr>
      <w:r w:rsidRPr="001A3B64">
        <w:rPr>
          <w:rFonts w:eastAsia="Times New Roman" w:cs="Times New Roman"/>
          <w:color w:val="131413"/>
        </w:rPr>
        <w:t>2.</w:t>
      </w:r>
      <w:r w:rsidRPr="001A3B64">
        <w:rPr>
          <w:rFonts w:eastAsia="Times New Roman" w:cs="Times New Roman"/>
          <w:color w:val="131413"/>
        </w:rPr>
        <w:tab/>
        <w:t>Las MIC incompatibles con la obligación de eliminación general de las restricciones cuantitativas establecida en el párrafo 1 del artículo XI del GATT de</w:t>
      </w:r>
      <w:r w:rsidR="00647F61" w:rsidRPr="001A3B64">
        <w:rPr>
          <w:rFonts w:eastAsia="Times New Roman" w:cs="Times New Roman"/>
          <w:color w:val="131413"/>
        </w:rPr>
        <w:t xml:space="preserve"> </w:t>
      </w:r>
      <w:r w:rsidRPr="001A3B64">
        <w:rPr>
          <w:rFonts w:eastAsia="Times New Roman" w:cs="Times New Roman"/>
          <w:color w:val="131413"/>
        </w:rPr>
        <w:t>1994 comprenden las que sean obligatorias o exigibles en virtud de la legislación nacional o de resoluciones administrativas, o cuyo cumplimiento sea necesario para obtener una ventaja, y que restrinjan:</w:t>
      </w:r>
    </w:p>
    <w:p w14:paraId="77E64F72" w14:textId="26488EEC" w:rsidR="00126225" w:rsidRPr="001A3B64" w:rsidRDefault="00126225" w:rsidP="003F5D7D">
      <w:pPr>
        <w:autoSpaceDE w:val="0"/>
        <w:autoSpaceDN w:val="0"/>
        <w:spacing w:after="240"/>
        <w:ind w:left="1134" w:hanging="567"/>
        <w:rPr>
          <w:rFonts w:eastAsia="Times New Roman" w:cs="Times New Roman"/>
        </w:rPr>
      </w:pPr>
      <w:r w:rsidRPr="001A3B64">
        <w:rPr>
          <w:rFonts w:eastAsia="Times New Roman" w:cs="Times New Roman"/>
          <w:color w:val="131413"/>
        </w:rPr>
        <w:t>a)</w:t>
      </w:r>
      <w:r w:rsidRPr="001A3B64">
        <w:rPr>
          <w:rFonts w:eastAsia="Times New Roman" w:cs="Times New Roman"/>
          <w:color w:val="131413"/>
        </w:rPr>
        <w:tab/>
        <w:t xml:space="preserve">la importación por una empresa de los productos utilizados en su producción local o relacionados con </w:t>
      </w:r>
      <w:r w:rsidR="009317A9">
        <w:rPr>
          <w:rFonts w:eastAsia="Times New Roman" w:cs="Times New Roman"/>
          <w:color w:val="131413"/>
        </w:rPr>
        <w:t>é</w:t>
      </w:r>
      <w:r w:rsidRPr="001A3B64">
        <w:rPr>
          <w:rFonts w:eastAsia="Times New Roman" w:cs="Times New Roman"/>
          <w:color w:val="131413"/>
        </w:rPr>
        <w:t>sta, en general o a una cantidad relacionada con el volumen o el valor de la producción local que la empresa exporte;</w:t>
      </w:r>
    </w:p>
    <w:p w14:paraId="5982BE33" w14:textId="30239130" w:rsidR="00126225" w:rsidRPr="001A3B64" w:rsidRDefault="00126225" w:rsidP="003F5D7D">
      <w:pPr>
        <w:autoSpaceDE w:val="0"/>
        <w:autoSpaceDN w:val="0"/>
        <w:spacing w:after="240"/>
        <w:ind w:left="1134" w:hanging="567"/>
        <w:rPr>
          <w:rFonts w:eastAsia="Times New Roman" w:cs="Times New Roman"/>
        </w:rPr>
      </w:pPr>
      <w:r w:rsidRPr="001A3B64">
        <w:rPr>
          <w:rFonts w:eastAsia="Times New Roman" w:cs="Times New Roman"/>
          <w:color w:val="131413"/>
        </w:rPr>
        <w:t>b)</w:t>
      </w:r>
      <w:r w:rsidRPr="001A3B64">
        <w:rPr>
          <w:rFonts w:eastAsia="Times New Roman" w:cs="Times New Roman"/>
          <w:color w:val="131413"/>
        </w:rPr>
        <w:tab/>
        <w:t xml:space="preserve">la importación por una empresa de productos utilizados en su producción local o relacionados con </w:t>
      </w:r>
      <w:r w:rsidR="009317A9">
        <w:rPr>
          <w:rFonts w:eastAsia="Times New Roman" w:cs="Times New Roman"/>
          <w:color w:val="131413"/>
        </w:rPr>
        <w:t>é</w:t>
      </w:r>
      <w:r w:rsidRPr="001A3B64">
        <w:rPr>
          <w:rFonts w:eastAsia="Times New Roman" w:cs="Times New Roman"/>
          <w:color w:val="131413"/>
        </w:rPr>
        <w:t>sta, limitando el acceso de la empresa a las divisas, a una cantidad relacionada con las entradas de divisas atribuibles a esa empresa; o</w:t>
      </w:r>
    </w:p>
    <w:p w14:paraId="07C7990D" w14:textId="77777777" w:rsidR="00126225" w:rsidRPr="001A3B64" w:rsidRDefault="00126225" w:rsidP="003F5D7D">
      <w:pPr>
        <w:autoSpaceDE w:val="0"/>
        <w:autoSpaceDN w:val="0"/>
        <w:spacing w:after="240"/>
        <w:ind w:left="1134" w:hanging="567"/>
      </w:pPr>
      <w:r w:rsidRPr="001A3B64">
        <w:rPr>
          <w:rFonts w:eastAsia="Times New Roman" w:cs="Times New Roman"/>
          <w:color w:val="131413"/>
        </w:rPr>
        <w:t>c)</w:t>
      </w:r>
      <w:r w:rsidRPr="001A3B64">
        <w:rPr>
          <w:rFonts w:eastAsia="Times New Roman" w:cs="Times New Roman"/>
          <w:color w:val="131413"/>
        </w:rPr>
        <w:tab/>
        <w:t>la exportación o la venta para la exportación de productos por una empresa, ya se especifiquen en términos de productos determinados, en términos de volumen o valor de los productos o como proporción del volumen o valor de su producción local.</w:t>
      </w:r>
    </w:p>
    <w:bookmarkEnd w:id="8"/>
    <w:p w14:paraId="0F473821" w14:textId="77777777" w:rsidR="00B32E54" w:rsidRPr="001A3B64" w:rsidRDefault="00B32E54" w:rsidP="003F5D7D">
      <w:pPr>
        <w:autoSpaceDE w:val="0"/>
        <w:autoSpaceDN w:val="0"/>
        <w:spacing w:after="240"/>
        <w:jc w:val="left"/>
        <w:rPr>
          <w:rFonts w:eastAsia="Times New Roman" w:cs="Times New Roman"/>
          <w:szCs w:val="18"/>
        </w:rPr>
      </w:pPr>
    </w:p>
    <w:sectPr w:rsidR="00B32E54" w:rsidRPr="001A3B64" w:rsidSect="001A3B64">
      <w:headerReference w:type="even" r:id="rId7"/>
      <w:headerReference w:type="default" r:id="rId8"/>
      <w:footerReference w:type="even" r:id="rId9"/>
      <w:footerReference w:type="default" r:id="rId10"/>
      <w:headerReference w:type="first" r:id="rId11"/>
      <w:footerReference w:type="first" r:id="rId12"/>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36000" w14:textId="77777777" w:rsidR="00795AA0" w:rsidRDefault="00795AA0" w:rsidP="00BC06C7">
      <w:bookmarkStart w:id="4" w:name="_Hlk64286392"/>
      <w:bookmarkStart w:id="5" w:name="_Hlk64286393"/>
      <w:r>
        <w:separator/>
      </w:r>
      <w:bookmarkEnd w:id="4"/>
      <w:bookmarkEnd w:id="5"/>
    </w:p>
  </w:endnote>
  <w:endnote w:type="continuationSeparator" w:id="0">
    <w:p w14:paraId="469FADB5" w14:textId="77777777" w:rsidR="00795AA0" w:rsidRDefault="00795AA0" w:rsidP="00BC06C7">
      <w:bookmarkStart w:id="6" w:name="_Hlk64286394"/>
      <w:bookmarkStart w:id="7" w:name="_Hlk64286395"/>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56D9" w14:textId="77777777" w:rsidR="00541665" w:rsidRDefault="00541665">
    <w:pPr>
      <w:pStyle w:val="Footer"/>
    </w:pPr>
    <w:bookmarkStart w:id="15" w:name="_Hlk64286380"/>
    <w:bookmarkStart w:id="16" w:name="_Hlk64286381"/>
    <w:bookmarkEnd w:id="15"/>
    <w:bookmarkEnd w:id="1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BFC86" w14:textId="4FB84142" w:rsidR="00CB7EBE" w:rsidRPr="00CB7EBE" w:rsidRDefault="00CB7EBE">
    <w:pPr>
      <w:pStyle w:val="Footer"/>
      <w:rPr>
        <w:lang w:val="fr-CH"/>
      </w:rPr>
    </w:pPr>
    <w:bookmarkStart w:id="17" w:name="_Hlk64286382"/>
    <w:bookmarkStart w:id="18" w:name="_Hlk64286383"/>
    <w:r>
      <w:rPr>
        <w:lang w:val="fr-CH"/>
      </w:rPr>
      <w:t xml:space="preserve"> </w:t>
    </w:r>
    <w:bookmarkEnd w:id="17"/>
    <w:bookmarkEnd w:id="1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A95FC" w14:textId="77777777" w:rsidR="00541665" w:rsidRDefault="00541665">
    <w:pPr>
      <w:pStyle w:val="Footer"/>
    </w:pPr>
    <w:bookmarkStart w:id="21" w:name="_Hlk64286386"/>
    <w:bookmarkStart w:id="22" w:name="_Hlk64286387"/>
    <w:bookmarkEnd w:id="21"/>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410A81" w14:textId="77777777" w:rsidR="00795AA0" w:rsidRDefault="00795AA0" w:rsidP="00BC06C7">
      <w:bookmarkStart w:id="0" w:name="_Hlk64286388"/>
      <w:bookmarkStart w:id="1" w:name="_Hlk64286389"/>
      <w:r>
        <w:separator/>
      </w:r>
      <w:bookmarkEnd w:id="0"/>
      <w:bookmarkEnd w:id="1"/>
    </w:p>
  </w:footnote>
  <w:footnote w:type="continuationSeparator" w:id="0">
    <w:p w14:paraId="70A16348" w14:textId="77777777" w:rsidR="00795AA0" w:rsidRDefault="00795AA0" w:rsidP="00BC06C7">
      <w:bookmarkStart w:id="2" w:name="_Hlk64286390"/>
      <w:bookmarkStart w:id="3" w:name="_Hlk64286391"/>
      <w:r>
        <w:continuationSeparator/>
      </w:r>
      <w:bookmarkEnd w:id="2"/>
      <w:bookmarkEnd w:id="3"/>
    </w:p>
  </w:footnote>
  <w:footnote w:id="1">
    <w:p w14:paraId="10BE7DD6" w14:textId="78EFD8F6" w:rsidR="00126225" w:rsidRDefault="00126225" w:rsidP="00B3524E">
      <w:pPr>
        <w:pStyle w:val="FootnoteText"/>
      </w:pPr>
      <w:bookmarkStart w:id="9" w:name="_Hlk64286374"/>
      <w:bookmarkStart w:id="10" w:name="_Hlk64286375"/>
      <w:r>
        <w:rPr>
          <w:rStyle w:val="FootnoteReference"/>
        </w:rPr>
        <w:footnoteRef/>
      </w:r>
      <w:r>
        <w:t xml:space="preserve"> </w:t>
      </w:r>
      <w:r w:rsidRPr="00EF4109">
        <w:rPr>
          <w:rFonts w:eastAsia="Times New Roman"/>
          <w:color w:val="131413"/>
          <w:szCs w:val="16"/>
        </w:rPr>
        <w:t>En el caso de las MIC aplicadas en ejercicio de facultades discrecionales, se notificará cada caso concreto de aplicación. No será necesario revelar informaciones cuya divulgación pueda lesionar los intereses comerciales legítimos de empresas determinadas</w:t>
      </w:r>
      <w:r w:rsidR="00EF4109">
        <w:rPr>
          <w:rFonts w:eastAsia="Times New Roman"/>
          <w:color w:val="131413"/>
          <w:szCs w:val="16"/>
        </w:rPr>
        <w:t>.</w:t>
      </w:r>
      <w:bookmarkEnd w:id="9"/>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D2F90" w14:textId="77777777" w:rsidR="0090347B" w:rsidRDefault="0090347B">
    <w:pPr>
      <w:pStyle w:val="Header"/>
      <w:jc w:val="center"/>
    </w:pPr>
    <w:bookmarkStart w:id="11" w:name="_Hlk64286376"/>
    <w:bookmarkStart w:id="12" w:name="_Hlk64286377"/>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11"/>
  <w:bookmarkEnd w:id="12"/>
  <w:p w14:paraId="5C3694EE" w14:textId="77777777" w:rsidR="0090347B" w:rsidRPr="008B63F8" w:rsidRDefault="0090347B"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13494" w14:textId="77777777" w:rsidR="005A3C1A" w:rsidRDefault="005A3C1A" w:rsidP="005A3C1A">
    <w:pPr>
      <w:pStyle w:val="Header"/>
      <w:spacing w:after="240"/>
      <w:jc w:val="center"/>
    </w:pPr>
    <w:bookmarkStart w:id="13" w:name="_Hlk64286378"/>
    <w:bookmarkStart w:id="14" w:name="_Hlk64286379"/>
  </w:p>
  <w:p w14:paraId="65FBEEE4" w14:textId="24987952" w:rsidR="00795AA0" w:rsidRPr="0090347B" w:rsidRDefault="0090347B" w:rsidP="005A3C1A">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17D2B" w14:textId="77777777" w:rsidR="00541665" w:rsidRDefault="00541665">
    <w:pPr>
      <w:pStyle w:val="Header"/>
    </w:pPr>
    <w:bookmarkStart w:id="19" w:name="_Hlk64286384"/>
    <w:bookmarkStart w:id="20" w:name="_Hlk64286385"/>
    <w:bookmarkEnd w:id="19"/>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54DF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C80E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4C1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AAA3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679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80BD0"/>
    <w:multiLevelType w:val="multilevel"/>
    <w:tmpl w:val="809A0942"/>
    <w:lvl w:ilvl="0">
      <w:start w:val="8"/>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1" w15:restartNumberingAfterBreak="0">
    <w:nsid w:val="0A451773"/>
    <w:multiLevelType w:val="multilevel"/>
    <w:tmpl w:val="6D8E78CC"/>
    <w:lvl w:ilvl="0">
      <w:start w:val="4"/>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2" w15:restartNumberingAfterBreak="0">
    <w:nsid w:val="0CDB5303"/>
    <w:multiLevelType w:val="multilevel"/>
    <w:tmpl w:val="BCB602F4"/>
    <w:lvl w:ilvl="0">
      <w:start w:val="1"/>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13" w15:restartNumberingAfterBreak="0">
    <w:nsid w:val="0EC00F44"/>
    <w:multiLevelType w:val="multilevel"/>
    <w:tmpl w:val="37700A82"/>
    <w:lvl w:ilvl="0">
      <w:start w:val="6"/>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spacing w:val="0"/>
        <w:w w:val="100"/>
        <w:sz w:val="18"/>
        <w:szCs w:val="18"/>
      </w:rPr>
    </w:lvl>
    <w:lvl w:ilvl="3">
      <w:numFmt w:val="bullet"/>
      <w:lvlText w:val="•"/>
      <w:lvlJc w:val="left"/>
      <w:pPr>
        <w:ind w:left="2370" w:hanging="567"/>
      </w:pPr>
      <w:rPr>
        <w:rFonts w:hint="default"/>
      </w:rPr>
    </w:lvl>
    <w:lvl w:ilvl="4">
      <w:numFmt w:val="bullet"/>
      <w:lvlText w:val="•"/>
      <w:lvlJc w:val="left"/>
      <w:pPr>
        <w:ind w:left="2925" w:hanging="567"/>
      </w:pPr>
      <w:rPr>
        <w:rFonts w:hint="default"/>
      </w:rPr>
    </w:lvl>
    <w:lvl w:ilvl="5">
      <w:numFmt w:val="bullet"/>
      <w:lvlText w:val="•"/>
      <w:lvlJc w:val="left"/>
      <w:pPr>
        <w:ind w:left="3481" w:hanging="567"/>
      </w:pPr>
      <w:rPr>
        <w:rFonts w:hint="default"/>
      </w:rPr>
    </w:lvl>
    <w:lvl w:ilvl="6">
      <w:numFmt w:val="bullet"/>
      <w:lvlText w:val="•"/>
      <w:lvlJc w:val="left"/>
      <w:pPr>
        <w:ind w:left="4036" w:hanging="567"/>
      </w:pPr>
      <w:rPr>
        <w:rFonts w:hint="default"/>
      </w:rPr>
    </w:lvl>
    <w:lvl w:ilvl="7">
      <w:numFmt w:val="bullet"/>
      <w:lvlText w:val="•"/>
      <w:lvlJc w:val="left"/>
      <w:pPr>
        <w:ind w:left="4591" w:hanging="567"/>
      </w:pPr>
      <w:rPr>
        <w:rFonts w:hint="default"/>
      </w:rPr>
    </w:lvl>
    <w:lvl w:ilvl="8">
      <w:numFmt w:val="bullet"/>
      <w:lvlText w:val="•"/>
      <w:lvlJc w:val="left"/>
      <w:pPr>
        <w:ind w:left="5146" w:hanging="567"/>
      </w:pPr>
      <w:rPr>
        <w:rFonts w:hint="default"/>
      </w:rPr>
    </w:lvl>
  </w:abstractNum>
  <w:abstractNum w:abstractNumId="14" w15:restartNumberingAfterBreak="0">
    <w:nsid w:val="0F0E3F03"/>
    <w:multiLevelType w:val="multilevel"/>
    <w:tmpl w:val="E446F946"/>
    <w:lvl w:ilvl="0">
      <w:start w:val="7"/>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15" w15:restartNumberingAfterBreak="0">
    <w:nsid w:val="0F171E2C"/>
    <w:multiLevelType w:val="multilevel"/>
    <w:tmpl w:val="AC9ED948"/>
    <w:lvl w:ilvl="0">
      <w:start w:val="11"/>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9"/>
        <w:w w:val="100"/>
        <w:sz w:val="18"/>
        <w:szCs w:val="18"/>
      </w:rPr>
    </w:lvl>
    <w:lvl w:ilvl="2">
      <w:start w:val="1"/>
      <w:numFmt w:val="decimal"/>
      <w:lvlText w:val="%1.%2.%3"/>
      <w:lvlJc w:val="left"/>
      <w:pPr>
        <w:ind w:left="1244" w:hanging="567"/>
      </w:pPr>
      <w:rPr>
        <w:rFonts w:ascii="Verdana" w:eastAsia="Times New Roman" w:hAnsi="Verdana" w:cs="Times New Roman" w:hint="default"/>
        <w:color w:val="131413"/>
        <w:w w:val="100"/>
        <w:sz w:val="18"/>
        <w:szCs w:val="18"/>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16" w15:restartNumberingAfterBreak="0">
    <w:nsid w:val="19B724E1"/>
    <w:multiLevelType w:val="multilevel"/>
    <w:tmpl w:val="AF329A6E"/>
    <w:lvl w:ilvl="0">
      <w:start w:val="3"/>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7" w15:restartNumberingAfterBreak="0">
    <w:nsid w:val="23A63D9D"/>
    <w:multiLevelType w:val="hybridMultilevel"/>
    <w:tmpl w:val="CCC06522"/>
    <w:lvl w:ilvl="0" w:tplc="3A9A8160">
      <w:start w:val="1"/>
      <w:numFmt w:val="decimal"/>
      <w:lvlText w:val="%1."/>
      <w:lvlJc w:val="left"/>
      <w:pPr>
        <w:ind w:left="690" w:hanging="567"/>
      </w:pPr>
      <w:rPr>
        <w:rFonts w:ascii="Verdana" w:eastAsia="Times New Roman" w:hAnsi="Verdana" w:cs="Times New Roman" w:hint="default"/>
        <w:color w:val="131413"/>
        <w:spacing w:val="-8"/>
        <w:w w:val="100"/>
        <w:sz w:val="18"/>
        <w:szCs w:val="18"/>
      </w:rPr>
    </w:lvl>
    <w:lvl w:ilvl="1" w:tplc="112AD334">
      <w:numFmt w:val="bullet"/>
      <w:lvlText w:val="•"/>
      <w:lvlJc w:val="left"/>
      <w:pPr>
        <w:ind w:left="1373" w:hanging="567"/>
      </w:pPr>
      <w:rPr>
        <w:rFonts w:hint="default"/>
      </w:rPr>
    </w:lvl>
    <w:lvl w:ilvl="2" w:tplc="E9D649E0">
      <w:numFmt w:val="bullet"/>
      <w:lvlText w:val="•"/>
      <w:lvlJc w:val="left"/>
      <w:pPr>
        <w:ind w:left="2047" w:hanging="567"/>
      </w:pPr>
      <w:rPr>
        <w:rFonts w:hint="default"/>
      </w:rPr>
    </w:lvl>
    <w:lvl w:ilvl="3" w:tplc="8C4474C2">
      <w:numFmt w:val="bullet"/>
      <w:lvlText w:val="•"/>
      <w:lvlJc w:val="left"/>
      <w:pPr>
        <w:ind w:left="2721" w:hanging="567"/>
      </w:pPr>
      <w:rPr>
        <w:rFonts w:hint="default"/>
      </w:rPr>
    </w:lvl>
    <w:lvl w:ilvl="4" w:tplc="CB7E50BE">
      <w:numFmt w:val="bullet"/>
      <w:lvlText w:val="•"/>
      <w:lvlJc w:val="left"/>
      <w:pPr>
        <w:ind w:left="3394" w:hanging="567"/>
      </w:pPr>
      <w:rPr>
        <w:rFonts w:hint="default"/>
      </w:rPr>
    </w:lvl>
    <w:lvl w:ilvl="5" w:tplc="0C2A2688">
      <w:numFmt w:val="bullet"/>
      <w:lvlText w:val="•"/>
      <w:lvlJc w:val="left"/>
      <w:pPr>
        <w:ind w:left="4068" w:hanging="567"/>
      </w:pPr>
      <w:rPr>
        <w:rFonts w:hint="default"/>
      </w:rPr>
    </w:lvl>
    <w:lvl w:ilvl="6" w:tplc="AC9EA99C">
      <w:numFmt w:val="bullet"/>
      <w:lvlText w:val="•"/>
      <w:lvlJc w:val="left"/>
      <w:pPr>
        <w:ind w:left="4742" w:hanging="567"/>
      </w:pPr>
      <w:rPr>
        <w:rFonts w:hint="default"/>
      </w:rPr>
    </w:lvl>
    <w:lvl w:ilvl="7" w:tplc="306C22F6">
      <w:numFmt w:val="bullet"/>
      <w:lvlText w:val="•"/>
      <w:lvlJc w:val="left"/>
      <w:pPr>
        <w:ind w:left="5416" w:hanging="567"/>
      </w:pPr>
      <w:rPr>
        <w:rFonts w:hint="default"/>
      </w:rPr>
    </w:lvl>
    <w:lvl w:ilvl="8" w:tplc="B14C1E24">
      <w:numFmt w:val="bullet"/>
      <w:lvlText w:val="•"/>
      <w:lvlJc w:val="left"/>
      <w:pPr>
        <w:ind w:left="6089" w:hanging="567"/>
      </w:pPr>
      <w:rPr>
        <w:rFonts w:hint="default"/>
      </w:rPr>
    </w:lvl>
  </w:abstractNum>
  <w:abstractNum w:abstractNumId="18" w15:restartNumberingAfterBreak="0">
    <w:nsid w:val="27EB1860"/>
    <w:multiLevelType w:val="multilevel"/>
    <w:tmpl w:val="05D04EDC"/>
    <w:lvl w:ilvl="0">
      <w:start w:val="2"/>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44" w:hanging="567"/>
      </w:pPr>
      <w:rPr>
        <w:rFonts w:ascii="Verdana" w:eastAsia="Times New Roman" w:hAnsi="Verdana" w:cs="Times New Roman" w:hint="default"/>
        <w:color w:val="131413"/>
        <w:spacing w:val="0"/>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19" w15:restartNumberingAfterBreak="0">
    <w:nsid w:val="408F6203"/>
    <w:multiLevelType w:val="hybridMultilevel"/>
    <w:tmpl w:val="C428A8CA"/>
    <w:lvl w:ilvl="0" w:tplc="CB6A5D90">
      <w:start w:val="1"/>
      <w:numFmt w:val="upperLetter"/>
      <w:lvlText w:val="%1."/>
      <w:lvlJc w:val="left"/>
      <w:pPr>
        <w:ind w:left="110" w:hanging="567"/>
      </w:pPr>
      <w:rPr>
        <w:rFonts w:ascii="Verdana" w:eastAsia="Times New Roman" w:hAnsi="Verdana" w:cs="Times New Roman" w:hint="default"/>
        <w:color w:val="131413"/>
        <w:w w:val="100"/>
        <w:sz w:val="18"/>
        <w:szCs w:val="18"/>
      </w:rPr>
    </w:lvl>
    <w:lvl w:ilvl="1" w:tplc="821CEE58">
      <w:start w:val="1"/>
      <w:numFmt w:val="decimal"/>
      <w:lvlText w:val="%2."/>
      <w:lvlJc w:val="left"/>
      <w:pPr>
        <w:ind w:left="123" w:hanging="567"/>
      </w:pPr>
      <w:rPr>
        <w:rFonts w:ascii="Times New Roman" w:eastAsia="Times New Roman" w:hAnsi="Times New Roman" w:cs="Times New Roman" w:hint="default"/>
        <w:color w:val="131413"/>
        <w:spacing w:val="-23"/>
        <w:w w:val="99"/>
        <w:sz w:val="20"/>
        <w:szCs w:val="20"/>
      </w:rPr>
    </w:lvl>
    <w:lvl w:ilvl="2" w:tplc="5A7A6A2C">
      <w:numFmt w:val="bullet"/>
      <w:lvlText w:val="•"/>
      <w:lvlJc w:val="left"/>
      <w:pPr>
        <w:ind w:left="1347" w:hanging="567"/>
      </w:pPr>
      <w:rPr>
        <w:rFonts w:hint="default"/>
      </w:rPr>
    </w:lvl>
    <w:lvl w:ilvl="3" w:tplc="B680E29C">
      <w:numFmt w:val="bullet"/>
      <w:lvlText w:val="•"/>
      <w:lvlJc w:val="left"/>
      <w:pPr>
        <w:ind w:left="1961" w:hanging="567"/>
      </w:pPr>
      <w:rPr>
        <w:rFonts w:hint="default"/>
      </w:rPr>
    </w:lvl>
    <w:lvl w:ilvl="4" w:tplc="2444A1CC">
      <w:numFmt w:val="bullet"/>
      <w:lvlText w:val="•"/>
      <w:lvlJc w:val="left"/>
      <w:pPr>
        <w:ind w:left="2574" w:hanging="567"/>
      </w:pPr>
      <w:rPr>
        <w:rFonts w:hint="default"/>
      </w:rPr>
    </w:lvl>
    <w:lvl w:ilvl="5" w:tplc="A2F2A574">
      <w:numFmt w:val="bullet"/>
      <w:lvlText w:val="•"/>
      <w:lvlJc w:val="left"/>
      <w:pPr>
        <w:ind w:left="3188" w:hanging="567"/>
      </w:pPr>
      <w:rPr>
        <w:rFonts w:hint="default"/>
      </w:rPr>
    </w:lvl>
    <w:lvl w:ilvl="6" w:tplc="CF5C8006">
      <w:numFmt w:val="bullet"/>
      <w:lvlText w:val="•"/>
      <w:lvlJc w:val="left"/>
      <w:pPr>
        <w:ind w:left="3802" w:hanging="567"/>
      </w:pPr>
      <w:rPr>
        <w:rFonts w:hint="default"/>
      </w:rPr>
    </w:lvl>
    <w:lvl w:ilvl="7" w:tplc="0A7A5AC0">
      <w:numFmt w:val="bullet"/>
      <w:lvlText w:val="•"/>
      <w:lvlJc w:val="left"/>
      <w:pPr>
        <w:ind w:left="4416" w:hanging="567"/>
      </w:pPr>
      <w:rPr>
        <w:rFonts w:hint="default"/>
      </w:rPr>
    </w:lvl>
    <w:lvl w:ilvl="8" w:tplc="0EA64B6C">
      <w:numFmt w:val="bullet"/>
      <w:lvlText w:val="•"/>
      <w:lvlJc w:val="left"/>
      <w:pPr>
        <w:ind w:left="5029" w:hanging="567"/>
      </w:pPr>
      <w:rPr>
        <w:rFonts w:hint="default"/>
      </w:rPr>
    </w:lvl>
  </w:abstractNum>
  <w:abstractNum w:abstractNumId="20" w15:restartNumberingAfterBreak="0">
    <w:nsid w:val="47AB25E7"/>
    <w:multiLevelType w:val="multilevel"/>
    <w:tmpl w:val="4288D5D2"/>
    <w:lvl w:ilvl="0">
      <w:start w:val="10"/>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21"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2" w15:restartNumberingAfterBreak="0">
    <w:nsid w:val="54B57DEF"/>
    <w:multiLevelType w:val="multilevel"/>
    <w:tmpl w:val="A9E0915C"/>
    <w:lvl w:ilvl="0">
      <w:start w:val="15"/>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23" w15:restartNumberingAfterBreak="0">
    <w:nsid w:val="560C4D9B"/>
    <w:multiLevelType w:val="multilevel"/>
    <w:tmpl w:val="CBAAF034"/>
    <w:lvl w:ilvl="0">
      <w:start w:val="14"/>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24"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5CE5513"/>
    <w:multiLevelType w:val="multilevel"/>
    <w:tmpl w:val="1542E724"/>
    <w:lvl w:ilvl="0">
      <w:start w:val="13"/>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27" w15:restartNumberingAfterBreak="0">
    <w:nsid w:val="681248E7"/>
    <w:multiLevelType w:val="multilevel"/>
    <w:tmpl w:val="993E4796"/>
    <w:lvl w:ilvl="0">
      <w:start w:val="9"/>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28" w15:restartNumberingAfterBreak="0">
    <w:nsid w:val="69DF5E26"/>
    <w:multiLevelType w:val="multilevel"/>
    <w:tmpl w:val="58FE9414"/>
    <w:lvl w:ilvl="0">
      <w:start w:val="5"/>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spacing w:val="0"/>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29" w15:restartNumberingAfterBreak="0">
    <w:nsid w:val="6C6537F1"/>
    <w:multiLevelType w:val="multilevel"/>
    <w:tmpl w:val="5C9C3CC8"/>
    <w:lvl w:ilvl="0">
      <w:start w:val="12"/>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11"/>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30" w15:restartNumberingAfterBreak="0">
    <w:nsid w:val="6D547830"/>
    <w:multiLevelType w:val="hybridMultilevel"/>
    <w:tmpl w:val="F0D25FB4"/>
    <w:lvl w:ilvl="0" w:tplc="FC4A57D0">
      <w:start w:val="1"/>
      <w:numFmt w:val="decimal"/>
      <w:lvlText w:val="%1."/>
      <w:lvlJc w:val="left"/>
      <w:pPr>
        <w:ind w:left="123" w:hanging="567"/>
      </w:pPr>
      <w:rPr>
        <w:rFonts w:ascii="Verdana" w:eastAsia="Times New Roman" w:hAnsi="Verdana" w:cs="Times New Roman" w:hint="default"/>
        <w:color w:val="131413"/>
        <w:spacing w:val="-7"/>
        <w:w w:val="100"/>
        <w:sz w:val="18"/>
        <w:szCs w:val="18"/>
      </w:rPr>
    </w:lvl>
    <w:lvl w:ilvl="1" w:tplc="D39C8F6C">
      <w:numFmt w:val="bullet"/>
      <w:lvlText w:val="•"/>
      <w:lvlJc w:val="left"/>
      <w:pPr>
        <w:ind w:left="851" w:hanging="567"/>
      </w:pPr>
      <w:rPr>
        <w:rFonts w:hint="default"/>
      </w:rPr>
    </w:lvl>
    <w:lvl w:ilvl="2" w:tplc="916C6E84">
      <w:numFmt w:val="bullet"/>
      <w:lvlText w:val="•"/>
      <w:lvlJc w:val="left"/>
      <w:pPr>
        <w:ind w:left="1583" w:hanging="567"/>
      </w:pPr>
      <w:rPr>
        <w:rFonts w:hint="default"/>
      </w:rPr>
    </w:lvl>
    <w:lvl w:ilvl="3" w:tplc="1F8223A2">
      <w:numFmt w:val="bullet"/>
      <w:lvlText w:val="•"/>
      <w:lvlJc w:val="left"/>
      <w:pPr>
        <w:ind w:left="2315" w:hanging="567"/>
      </w:pPr>
      <w:rPr>
        <w:rFonts w:hint="default"/>
      </w:rPr>
    </w:lvl>
    <w:lvl w:ilvl="4" w:tplc="425A040C">
      <w:numFmt w:val="bullet"/>
      <w:lvlText w:val="•"/>
      <w:lvlJc w:val="left"/>
      <w:pPr>
        <w:ind w:left="3046" w:hanging="567"/>
      </w:pPr>
      <w:rPr>
        <w:rFonts w:hint="default"/>
      </w:rPr>
    </w:lvl>
    <w:lvl w:ilvl="5" w:tplc="77AA449E">
      <w:numFmt w:val="bullet"/>
      <w:lvlText w:val="•"/>
      <w:lvlJc w:val="left"/>
      <w:pPr>
        <w:ind w:left="3778" w:hanging="567"/>
      </w:pPr>
      <w:rPr>
        <w:rFonts w:hint="default"/>
      </w:rPr>
    </w:lvl>
    <w:lvl w:ilvl="6" w:tplc="DDB87E54">
      <w:numFmt w:val="bullet"/>
      <w:lvlText w:val="•"/>
      <w:lvlJc w:val="left"/>
      <w:pPr>
        <w:ind w:left="4510" w:hanging="567"/>
      </w:pPr>
      <w:rPr>
        <w:rFonts w:hint="default"/>
      </w:rPr>
    </w:lvl>
    <w:lvl w:ilvl="7" w:tplc="003A1092">
      <w:numFmt w:val="bullet"/>
      <w:lvlText w:val="•"/>
      <w:lvlJc w:val="left"/>
      <w:pPr>
        <w:ind w:left="5242" w:hanging="567"/>
      </w:pPr>
      <w:rPr>
        <w:rFonts w:hint="default"/>
      </w:rPr>
    </w:lvl>
    <w:lvl w:ilvl="8" w:tplc="31585AEA">
      <w:numFmt w:val="bullet"/>
      <w:lvlText w:val="•"/>
      <w:lvlJc w:val="left"/>
      <w:pPr>
        <w:ind w:left="5973" w:hanging="567"/>
      </w:pPr>
      <w:rPr>
        <w:rFonts w:hint="default"/>
      </w:rPr>
    </w:lvl>
  </w:abstractNum>
  <w:num w:numId="1">
    <w:abstractNumId w:val="24"/>
  </w:num>
  <w:num w:numId="2">
    <w:abstractNumId w:val="8"/>
  </w:num>
  <w:num w:numId="3">
    <w:abstractNumId w:val="8"/>
  </w:num>
  <w:num w:numId="4">
    <w:abstractNumId w:val="3"/>
  </w:num>
  <w:num w:numId="5">
    <w:abstractNumId w:val="3"/>
  </w:num>
  <w:num w:numId="6">
    <w:abstractNumId w:val="2"/>
  </w:num>
  <w:num w:numId="7">
    <w:abstractNumId w:val="2"/>
  </w:num>
  <w:num w:numId="8">
    <w:abstractNumId w:val="1"/>
  </w:num>
  <w:num w:numId="9">
    <w:abstractNumId w:val="1"/>
  </w:num>
  <w:num w:numId="10">
    <w:abstractNumId w:val="0"/>
  </w:num>
  <w:num w:numId="11">
    <w:abstractNumId w:val="0"/>
  </w:num>
  <w:num w:numId="12">
    <w:abstractNumId w:val="9"/>
  </w:num>
  <w:num w:numId="13">
    <w:abstractNumId w:val="21"/>
  </w:num>
  <w:num w:numId="14">
    <w:abstractNumId w:val="7"/>
  </w:num>
  <w:num w:numId="15">
    <w:abstractNumId w:val="21"/>
  </w:num>
  <w:num w:numId="16">
    <w:abstractNumId w:val="6"/>
  </w:num>
  <w:num w:numId="17">
    <w:abstractNumId w:val="21"/>
  </w:num>
  <w:num w:numId="18">
    <w:abstractNumId w:val="5"/>
  </w:num>
  <w:num w:numId="19">
    <w:abstractNumId w:val="21"/>
  </w:num>
  <w:num w:numId="20">
    <w:abstractNumId w:val="4"/>
  </w:num>
  <w:num w:numId="21">
    <w:abstractNumId w:val="21"/>
  </w:num>
  <w:num w:numId="22">
    <w:abstractNumId w:val="21"/>
  </w:num>
  <w:num w:numId="23">
    <w:abstractNumId w:val="25"/>
  </w:num>
  <w:num w:numId="24">
    <w:abstractNumId w:val="24"/>
  </w:num>
  <w:num w:numId="25">
    <w:abstractNumId w:val="24"/>
  </w:num>
  <w:num w:numId="26">
    <w:abstractNumId w:val="24"/>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19"/>
  </w:num>
  <w:num w:numId="34">
    <w:abstractNumId w:val="30"/>
  </w:num>
  <w:num w:numId="35">
    <w:abstractNumId w:val="17"/>
  </w:num>
  <w:num w:numId="36">
    <w:abstractNumId w:val="22"/>
  </w:num>
  <w:num w:numId="37">
    <w:abstractNumId w:val="23"/>
  </w:num>
  <w:num w:numId="38">
    <w:abstractNumId w:val="26"/>
  </w:num>
  <w:num w:numId="39">
    <w:abstractNumId w:val="29"/>
  </w:num>
  <w:num w:numId="40">
    <w:abstractNumId w:val="15"/>
  </w:num>
  <w:num w:numId="41">
    <w:abstractNumId w:val="20"/>
  </w:num>
  <w:num w:numId="42">
    <w:abstractNumId w:val="27"/>
  </w:num>
  <w:num w:numId="43">
    <w:abstractNumId w:val="10"/>
  </w:num>
  <w:num w:numId="44">
    <w:abstractNumId w:val="14"/>
  </w:num>
  <w:num w:numId="45">
    <w:abstractNumId w:val="13"/>
  </w:num>
  <w:num w:numId="46">
    <w:abstractNumId w:val="28"/>
  </w:num>
  <w:num w:numId="47">
    <w:abstractNumId w:val="11"/>
  </w:num>
  <w:num w:numId="48">
    <w:abstractNumId w:val="16"/>
  </w:num>
  <w:num w:numId="49">
    <w:abstractNumId w:val="18"/>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126225"/>
    <w:rsid w:val="001414DD"/>
    <w:rsid w:val="001A3B64"/>
    <w:rsid w:val="002125B6"/>
    <w:rsid w:val="00252E64"/>
    <w:rsid w:val="002B5154"/>
    <w:rsid w:val="002B64A8"/>
    <w:rsid w:val="002F69AA"/>
    <w:rsid w:val="00314B31"/>
    <w:rsid w:val="003C0CED"/>
    <w:rsid w:val="003D6225"/>
    <w:rsid w:val="003F5D7D"/>
    <w:rsid w:val="00402074"/>
    <w:rsid w:val="004041A6"/>
    <w:rsid w:val="0041250B"/>
    <w:rsid w:val="00481324"/>
    <w:rsid w:val="00482615"/>
    <w:rsid w:val="00497EC5"/>
    <w:rsid w:val="004E4C15"/>
    <w:rsid w:val="004F046B"/>
    <w:rsid w:val="00503D18"/>
    <w:rsid w:val="00541665"/>
    <w:rsid w:val="00542EEF"/>
    <w:rsid w:val="005A3C1A"/>
    <w:rsid w:val="00647F61"/>
    <w:rsid w:val="006A4D04"/>
    <w:rsid w:val="00747247"/>
    <w:rsid w:val="00765F44"/>
    <w:rsid w:val="00795AA0"/>
    <w:rsid w:val="007A5AC6"/>
    <w:rsid w:val="007D3B60"/>
    <w:rsid w:val="008B63F8"/>
    <w:rsid w:val="0090347B"/>
    <w:rsid w:val="0093070D"/>
    <w:rsid w:val="009317A9"/>
    <w:rsid w:val="0094616E"/>
    <w:rsid w:val="009A5F34"/>
    <w:rsid w:val="009D4C93"/>
    <w:rsid w:val="009D51AF"/>
    <w:rsid w:val="009E0E6C"/>
    <w:rsid w:val="00A10038"/>
    <w:rsid w:val="00A41055"/>
    <w:rsid w:val="00B32E54"/>
    <w:rsid w:val="00B3524E"/>
    <w:rsid w:val="00BC06C7"/>
    <w:rsid w:val="00CB7EBE"/>
    <w:rsid w:val="00CE626A"/>
    <w:rsid w:val="00D83ECA"/>
    <w:rsid w:val="00DC1688"/>
    <w:rsid w:val="00DD55C8"/>
    <w:rsid w:val="00DE25F0"/>
    <w:rsid w:val="00DF07C4"/>
    <w:rsid w:val="00E14308"/>
    <w:rsid w:val="00EF4109"/>
    <w:rsid w:val="00F516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5026A4E"/>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3"/>
      </w:numPr>
      <w:contextualSpacing/>
    </w:pPr>
  </w:style>
  <w:style w:type="paragraph" w:styleId="ListNumber2">
    <w:name w:val="List Number 2"/>
    <w:basedOn w:val="Normal"/>
    <w:uiPriority w:val="49"/>
    <w:semiHidden/>
    <w:rsid w:val="0041250B"/>
    <w:pPr>
      <w:numPr>
        <w:numId w:val="5"/>
      </w:numPr>
      <w:contextualSpacing/>
    </w:pPr>
  </w:style>
  <w:style w:type="paragraph" w:styleId="ListNumber3">
    <w:name w:val="List Number 3"/>
    <w:basedOn w:val="Normal"/>
    <w:uiPriority w:val="49"/>
    <w:semiHidden/>
    <w:rsid w:val="0041250B"/>
    <w:pPr>
      <w:numPr>
        <w:numId w:val="7"/>
      </w:numPr>
      <w:contextualSpacing/>
    </w:pPr>
  </w:style>
  <w:style w:type="paragraph" w:styleId="ListNumber4">
    <w:name w:val="List Number 4"/>
    <w:basedOn w:val="Normal"/>
    <w:uiPriority w:val="49"/>
    <w:semiHidden/>
    <w:rsid w:val="0041250B"/>
    <w:pPr>
      <w:numPr>
        <w:numId w:val="9"/>
      </w:numPr>
      <w:contextualSpacing/>
    </w:pPr>
  </w:style>
  <w:style w:type="paragraph" w:styleId="ListNumber5">
    <w:name w:val="List Number 5"/>
    <w:basedOn w:val="Normal"/>
    <w:uiPriority w:val="49"/>
    <w:semiHidden/>
    <w:rsid w:val="0041250B"/>
    <w:pPr>
      <w:numPr>
        <w:numId w:val="11"/>
      </w:numPr>
      <w:contextualSpacing/>
    </w:pPr>
  </w:style>
  <w:style w:type="paragraph" w:styleId="ListBullet">
    <w:name w:val="List Bullet"/>
    <w:basedOn w:val="Normal"/>
    <w:uiPriority w:val="1"/>
    <w:rsid w:val="00A10038"/>
    <w:pPr>
      <w:numPr>
        <w:numId w:val="13"/>
      </w:numPr>
      <w:spacing w:after="240"/>
    </w:pPr>
  </w:style>
  <w:style w:type="paragraph" w:styleId="ListBullet2">
    <w:name w:val="List Bullet 2"/>
    <w:basedOn w:val="Normal"/>
    <w:uiPriority w:val="1"/>
    <w:rsid w:val="00A10038"/>
    <w:pPr>
      <w:numPr>
        <w:ilvl w:val="1"/>
        <w:numId w:val="13"/>
      </w:numPr>
      <w:tabs>
        <w:tab w:val="left" w:pos="1134"/>
      </w:tabs>
      <w:spacing w:after="240"/>
    </w:pPr>
  </w:style>
  <w:style w:type="paragraph" w:styleId="ListBullet3">
    <w:name w:val="List Bullet 3"/>
    <w:basedOn w:val="Normal"/>
    <w:uiPriority w:val="1"/>
    <w:rsid w:val="00A10038"/>
    <w:pPr>
      <w:numPr>
        <w:ilvl w:val="2"/>
        <w:numId w:val="13"/>
      </w:numPr>
      <w:tabs>
        <w:tab w:val="left" w:pos="1701"/>
      </w:tabs>
      <w:spacing w:after="240"/>
    </w:pPr>
  </w:style>
  <w:style w:type="paragraph" w:styleId="ListBullet4">
    <w:name w:val="List Bullet 4"/>
    <w:basedOn w:val="Normal"/>
    <w:uiPriority w:val="1"/>
    <w:rsid w:val="00A10038"/>
    <w:pPr>
      <w:numPr>
        <w:ilvl w:val="3"/>
        <w:numId w:val="13"/>
      </w:numPr>
      <w:spacing w:after="240"/>
    </w:pPr>
  </w:style>
  <w:style w:type="paragraph" w:styleId="ListBullet5">
    <w:name w:val="List Bullet 5"/>
    <w:basedOn w:val="Normal"/>
    <w:uiPriority w:val="1"/>
    <w:rsid w:val="00A10038"/>
    <w:pPr>
      <w:numPr>
        <w:ilvl w:val="4"/>
        <w:numId w:val="13"/>
      </w:numPr>
      <w:spacing w:after="240"/>
    </w:pPr>
  </w:style>
  <w:style w:type="numbering" w:customStyle="1" w:styleId="ListBullets">
    <w:name w:val="ListBullets"/>
    <w:uiPriority w:val="99"/>
    <w:rsid w:val="00A10038"/>
    <w:pPr>
      <w:numPr>
        <w:numId w:val="13"/>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23"/>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1544</Words>
  <Characters>8802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2</cp:revision>
  <cp:lastPrinted>2021-01-23T15:49:00Z</cp:lastPrinted>
  <dcterms:created xsi:type="dcterms:W3CDTF">2021-05-18T15:08:00Z</dcterms:created>
  <dcterms:modified xsi:type="dcterms:W3CDTF">2021-05-18T15:08:00Z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79bef573-83a7-4bc5-a823-0266acc6dbe4</vt:lpwstr>
  </property>
  <property fmtid="{D5CDD505-2E9C-101B-9397-08002B2CF9AE}" pid="3" name="WTOCLASSIFICATION">
    <vt:lpwstr>WTO OFFICIAL</vt:lpwstr>
  </property>
</Properties>
</file>