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BA763" w14:textId="77777777" w:rsidR="006B24D1" w:rsidRPr="000E0D7F" w:rsidRDefault="006B24D1" w:rsidP="006B24D1">
      <w:pPr>
        <w:spacing w:after="240"/>
        <w:jc w:val="center"/>
        <w:rPr>
          <w:b/>
          <w:bCs/>
          <w:szCs w:val="18"/>
        </w:rPr>
      </w:pPr>
      <w:r w:rsidRPr="000E0D7F">
        <w:rPr>
          <w:b/>
          <w:bCs/>
          <w:szCs w:val="18"/>
        </w:rPr>
        <w:t xml:space="preserve">ENTENDIMIENTO RELATIVO A LAS DISPOSICIONES DEL </w:t>
      </w:r>
      <w:r w:rsidRPr="000E0D7F">
        <w:rPr>
          <w:b/>
          <w:bCs/>
          <w:szCs w:val="18"/>
        </w:rPr>
        <w:br/>
        <w:t xml:space="preserve">ACUERDO GENERAL SOBRE ARANCELES ADUANEROS Y </w:t>
      </w:r>
      <w:r w:rsidRPr="000E0D7F">
        <w:rPr>
          <w:b/>
          <w:bCs/>
          <w:szCs w:val="18"/>
        </w:rPr>
        <w:br/>
        <w:t>COMERCIO DE 1994 EN MATERIA DE BALANZA DE PAGOS</w:t>
      </w:r>
    </w:p>
    <w:p w14:paraId="0D812DED" w14:textId="77777777" w:rsidR="006B24D1" w:rsidRPr="000E0D7F" w:rsidRDefault="006B24D1" w:rsidP="006B24D1"/>
    <w:p w14:paraId="2FCB8FFA" w14:textId="77777777" w:rsidR="006B24D1" w:rsidRPr="000E0D7F" w:rsidRDefault="006B24D1" w:rsidP="006B24D1">
      <w:pPr>
        <w:spacing w:after="240"/>
        <w:jc w:val="left"/>
        <w:rPr>
          <w:szCs w:val="18"/>
        </w:rPr>
      </w:pPr>
      <w:r w:rsidRPr="000E0D7F">
        <w:rPr>
          <w:szCs w:val="18"/>
        </w:rPr>
        <w:br w:type="page"/>
      </w:r>
    </w:p>
    <w:p w14:paraId="2F5F2A1C" w14:textId="77777777" w:rsidR="006B24D1" w:rsidRPr="000E0D7F" w:rsidRDefault="006B24D1" w:rsidP="006B24D1">
      <w:pPr>
        <w:spacing w:after="240"/>
        <w:jc w:val="center"/>
        <w:rPr>
          <w:b/>
          <w:bCs/>
          <w:szCs w:val="18"/>
        </w:rPr>
      </w:pPr>
      <w:r w:rsidRPr="000E0D7F">
        <w:rPr>
          <w:b/>
          <w:bCs/>
          <w:szCs w:val="18"/>
        </w:rPr>
        <w:lastRenderedPageBreak/>
        <w:t xml:space="preserve">ENTENDIMIENTO RELATIVO A LAS DISPOSICIONES DEL </w:t>
      </w:r>
      <w:r w:rsidRPr="000E0D7F">
        <w:rPr>
          <w:b/>
          <w:bCs/>
          <w:szCs w:val="18"/>
        </w:rPr>
        <w:br/>
        <w:t xml:space="preserve">ACUERDO GENERAL SOBRE ARANCELES ADUANEROS Y </w:t>
      </w:r>
      <w:r w:rsidRPr="000E0D7F">
        <w:rPr>
          <w:b/>
          <w:bCs/>
          <w:szCs w:val="18"/>
        </w:rPr>
        <w:br/>
        <w:t>COMERCIO DE 1994 EN MATERIA DE BALANZA DE PAGOS</w:t>
      </w:r>
    </w:p>
    <w:p w14:paraId="70DF482A" w14:textId="77777777" w:rsidR="006B24D1" w:rsidRPr="000E0D7F" w:rsidRDefault="006B24D1" w:rsidP="006B24D1">
      <w:pPr>
        <w:spacing w:after="240"/>
        <w:rPr>
          <w:i/>
          <w:iCs/>
        </w:rPr>
      </w:pPr>
      <w:r w:rsidRPr="000E0D7F">
        <w:rPr>
          <w:i/>
          <w:iCs/>
        </w:rPr>
        <w:t>Los Miembros,</w:t>
      </w:r>
    </w:p>
    <w:p w14:paraId="40E064D9" w14:textId="77777777" w:rsidR="006B24D1" w:rsidRPr="000E0D7F" w:rsidRDefault="006B24D1" w:rsidP="006B24D1">
      <w:pPr>
        <w:spacing w:after="240"/>
        <w:ind w:firstLine="567"/>
        <w:rPr>
          <w:szCs w:val="18"/>
        </w:rPr>
      </w:pPr>
      <w:r w:rsidRPr="000E0D7F">
        <w:rPr>
          <w:i/>
          <w:szCs w:val="18"/>
        </w:rPr>
        <w:t xml:space="preserve">Reconociendo </w:t>
      </w:r>
      <w:r w:rsidRPr="000E0D7F">
        <w:rPr>
          <w:szCs w:val="18"/>
        </w:rPr>
        <w:t>las disposiciones del artículo XII y la sección B del artículo XVIII del GATT de 1994 y de la Declaración sobre las medidas comerciales adoptadas por motivos de balanza de pagos, adoptada el 28 de noviembre de 1979 (IBDD 26S/223-227, denominada en el presente Entendimiento "Declaración de 1979"), y con el propósito de aclarar esas disposiciones</w:t>
      </w:r>
      <w:r>
        <w:rPr>
          <w:rStyle w:val="FootnoteReference"/>
          <w:szCs w:val="18"/>
        </w:rPr>
        <w:footnoteReference w:customMarkFollows="1" w:id="1"/>
        <w:t>2</w:t>
      </w:r>
      <w:r>
        <w:rPr>
          <w:szCs w:val="18"/>
        </w:rPr>
        <w:t>;</w:t>
      </w:r>
    </w:p>
    <w:p w14:paraId="7B89C0C1" w14:textId="77777777" w:rsidR="006B24D1" w:rsidRPr="000E0D7F" w:rsidRDefault="006B24D1" w:rsidP="006B24D1">
      <w:pPr>
        <w:spacing w:after="240"/>
        <w:ind w:firstLine="567"/>
        <w:rPr>
          <w:szCs w:val="18"/>
        </w:rPr>
      </w:pPr>
      <w:r w:rsidRPr="000E0D7F">
        <w:rPr>
          <w:i/>
          <w:color w:val="131413"/>
          <w:szCs w:val="18"/>
        </w:rPr>
        <w:t xml:space="preserve">Convienen </w:t>
      </w:r>
      <w:r w:rsidRPr="000E0D7F">
        <w:rPr>
          <w:color w:val="131413"/>
          <w:szCs w:val="18"/>
        </w:rPr>
        <w:t>en lo siguiente:</w:t>
      </w:r>
    </w:p>
    <w:p w14:paraId="6EB4A9D7" w14:textId="77777777" w:rsidR="006B24D1" w:rsidRPr="000E0D7F" w:rsidRDefault="006B24D1" w:rsidP="006B24D1">
      <w:pPr>
        <w:spacing w:after="240"/>
        <w:jc w:val="left"/>
        <w:rPr>
          <w:i/>
          <w:szCs w:val="18"/>
        </w:rPr>
      </w:pPr>
      <w:r w:rsidRPr="000E0D7F">
        <w:rPr>
          <w:i/>
          <w:color w:val="131413"/>
          <w:szCs w:val="18"/>
        </w:rPr>
        <w:t>Aplicación de las medidas</w:t>
      </w:r>
    </w:p>
    <w:p w14:paraId="23E49584" w14:textId="77777777" w:rsidR="006B24D1" w:rsidRPr="000E0D7F" w:rsidRDefault="006B24D1" w:rsidP="006B24D1">
      <w:pPr>
        <w:spacing w:after="240"/>
      </w:pPr>
      <w:r w:rsidRPr="000E0D7F">
        <w:t>1.</w:t>
      </w:r>
      <w:r w:rsidRPr="000E0D7F">
        <w:tab/>
        <w:t>Los Miembros confirman su compromiso de anunciar públicamente lo antes posible los calendarios previstos para la eliminación de las medidas de restricción de las importaciones adoptadas por motivos de balanza de pagos. Queda entendido que tales calendarios podrán modificarse, según proceda, para tener en cuenta las variaciones de la situación de la balanza de pagos. Cuando un Miembro no anuncie públicamente un calendario, ese Miembro dará a conocer las razones que lo justifiquen.</w:t>
      </w:r>
    </w:p>
    <w:p w14:paraId="1348BEE6" w14:textId="77777777" w:rsidR="006B24D1" w:rsidRPr="000E0D7F" w:rsidRDefault="006B24D1" w:rsidP="006B24D1">
      <w:pPr>
        <w:spacing w:after="240"/>
        <w:rPr>
          <w:szCs w:val="18"/>
        </w:rPr>
      </w:pPr>
      <w:r w:rsidRPr="000E0D7F">
        <w:t>2.</w:t>
      </w:r>
      <w:r w:rsidRPr="000E0D7F">
        <w:tab/>
        <w:t>Los</w:t>
      </w:r>
      <w:r w:rsidRPr="000E0D7F">
        <w:rPr>
          <w:color w:val="131413"/>
          <w:szCs w:val="18"/>
        </w:rPr>
        <w:t xml:space="preserve"> Miembros confirman asimismo su compromiso de dar preferencia a las medidas que menos perturben el comercio. Se entenderá que tales medidas (denominadas en el presente Entendimiento "medidas basadas en los precios") comprenden los recargos a la importación, las prescripciones en materia de depósito previo a la importación u otras medidas comerciales equivalentes que repercutan en el precio de las mercancías importadas. Queda entendido que, no obstante las disposiciones del artículo II, cualquier Miembro podrá aplicar las medidas basadas en los precios adoptadas por motivos de balanza de pagos además de los derechos consignados en la Lista de ese Miembro. Además, ese Miembro indicará claramente y por separado, con arreglo al procedimiento de notificación que se establece en el presente Entendimiento, la cuantía en que la medida basada en los precios exceda del derecho consolidado.</w:t>
      </w:r>
    </w:p>
    <w:p w14:paraId="68D03E24" w14:textId="77777777" w:rsidR="006B24D1" w:rsidRPr="000E0D7F" w:rsidRDefault="006B24D1" w:rsidP="006B24D1">
      <w:pPr>
        <w:spacing w:after="240"/>
        <w:rPr>
          <w:szCs w:val="18"/>
        </w:rPr>
      </w:pPr>
      <w:r w:rsidRPr="000E0D7F">
        <w:t>3.</w:t>
      </w:r>
      <w:r w:rsidRPr="000E0D7F">
        <w:tab/>
        <w:t>Los</w:t>
      </w:r>
      <w:r w:rsidRPr="000E0D7F">
        <w:rPr>
          <w:color w:val="131413"/>
          <w:szCs w:val="18"/>
        </w:rPr>
        <w:t xml:space="preserve"> Miembros tratarán de evitar la imposición de nuevas restricciones cuantitativas por motivos de balanza de pagos a menos que, debido a una situación crítica de la balanza de pagos, las medidas basadas en los precios no puedan impedir un brusco empeoramiento del estado de los pagos exteriores. En los casos en que un Miembro aplique restricciones cuantitativas, dará a conocer las razones que justifiquen que las medidas basadas en los precios no constituyen un instrumento adecuado para hacer frente a la situación de la balanza de pagos. Todo Miembro que mantenga restricciones cuantitativas indicará en sucesivas consultas los progresos realizados en la reducción sustancial de la incidencia y de los efectos restrictivos de tales medidas. Queda entendido que no podrá aplicarse más de un tipo de medidas de restricción de las importaciones adoptadas por motivos de balanza de pagos al mismo producto.</w:t>
      </w:r>
    </w:p>
    <w:p w14:paraId="17ECDAF3" w14:textId="77777777" w:rsidR="006B24D1" w:rsidRPr="000E0D7F" w:rsidRDefault="006B24D1" w:rsidP="006B24D1">
      <w:pPr>
        <w:spacing w:after="240"/>
        <w:rPr>
          <w:szCs w:val="18"/>
        </w:rPr>
      </w:pPr>
      <w:r w:rsidRPr="000E0D7F">
        <w:t>4.</w:t>
      </w:r>
      <w:r w:rsidRPr="000E0D7F">
        <w:tab/>
        <w:t>Los</w:t>
      </w:r>
      <w:r w:rsidRPr="000E0D7F">
        <w:rPr>
          <w:color w:val="131413"/>
          <w:szCs w:val="18"/>
        </w:rPr>
        <w:t xml:space="preserve"> Miembros confirman que las medidas de restricción de las importaciones adoptadas por motivos de balanza de pagos únicamente podrán aplicarse para controlar el nivel general de las importaciones y no podrán exceder de lo necesario para corregir la situación de la balanza de pagos. Con el fin de reducir al mínimo los efectos de protección que incidentalmente pudieran producirse, cada Miembro aplicará las restricciones de manera transparente. Las autoridades del Miembro importador justificarán de manera adecuada los criterios aplicados para determinar qué productos quedan sujetos a restricción. De conformidad con lo dispuesto en el párrafo 3 del artículo XII y en el párrafo 10 del artículo XVIII, los Miembros podrán excluir a algunos productos esenciales de recargos de aplicación general u otras medidas aplicadas por motivos de balanza de pagos, o limitar en su caso dicha aplicación. Por "productos esenciales" se entenderá productos que satisfagan necesidades básicas de consumo o que contribuyan a los esfuerzos del Miembro para mejorar la </w:t>
      </w:r>
      <w:r w:rsidRPr="000E0D7F">
        <w:rPr>
          <w:color w:val="131413"/>
          <w:szCs w:val="18"/>
        </w:rPr>
        <w:lastRenderedPageBreak/>
        <w:t>situación de su balanza de pagos: por ejemplo, bienes de capital o insumos necesarios para la producción. En la aplicación de restricciones cuantitativas, un Miembro utilizará los regímenes de licencias discrecionales únicamente cuando sea inevitable hacerlo y los eliminará progresivamente. Se justificarán de manera apropiada los criterios aplicados para determinar la cantidad o el valor de las importaciones permisibles.</w:t>
      </w:r>
    </w:p>
    <w:p w14:paraId="74985705" w14:textId="77777777" w:rsidR="006B24D1" w:rsidRPr="000E0D7F" w:rsidRDefault="006B24D1" w:rsidP="006B24D1">
      <w:pPr>
        <w:spacing w:after="240"/>
        <w:rPr>
          <w:i/>
          <w:iCs/>
        </w:rPr>
      </w:pPr>
      <w:r w:rsidRPr="000E0D7F">
        <w:rPr>
          <w:i/>
          <w:iCs/>
        </w:rPr>
        <w:t>Procedimientos para la celebración de consultas sobre las restricciones impuestas por motivos de balanza de pagos</w:t>
      </w:r>
    </w:p>
    <w:p w14:paraId="134F443E" w14:textId="77777777" w:rsidR="006B24D1" w:rsidRPr="000E0D7F" w:rsidRDefault="006B24D1" w:rsidP="006B24D1">
      <w:pPr>
        <w:spacing w:after="240"/>
      </w:pPr>
      <w:r w:rsidRPr="000E0D7F">
        <w:t>5.</w:t>
      </w:r>
      <w:r w:rsidRPr="000E0D7F">
        <w:tab/>
        <w:t>El Comité de Restricciones por Balanza de Pagos (denominado en el presente Entendimiento el "Comité") llevará a cabo consultas con el fin de examinar todas las medidas de restricción de las importaciones adoptadas por motivos de balanza de pagos. Pueden formar parte del Comité todos los Miembros que indiquen su deseo de hacerlo. El Comité seguirá el procedimiento para la celebración de consultas sobre restricciones impuestas por motivos de balanza de pagos aprobado el 28 de abril de 1970 (IBDD 18S/51-57, denominado en el presente Entendimiento "procedimiento de consulta plena"), con sujeción a las disposiciones que figuran a continuación.</w:t>
      </w:r>
    </w:p>
    <w:p w14:paraId="62F9C7E0" w14:textId="77777777" w:rsidR="006B24D1" w:rsidRPr="000E0D7F" w:rsidRDefault="006B24D1" w:rsidP="006B24D1">
      <w:pPr>
        <w:spacing w:after="240"/>
      </w:pPr>
      <w:r w:rsidRPr="000E0D7F">
        <w:t>6.</w:t>
      </w:r>
      <w:r w:rsidRPr="000E0D7F">
        <w:tab/>
        <w:t>Todo Miembro que aplique nuevas restricciones o eleve el nivel general de las existentes mediante una intensificación sustancial de las medidas entablará consultas con el Comité dentro de un plazo de cuatro meses a partir de la adopción de esas medidas. El Miembro que adopte tales medidas podrá solicitar que se celebre una consulta con arreglo al párrafo 4 a) del artículo XII o al párrafo 12 a) del artículo XVIII, según proceda. Si no se hubiera presentado esa solicitud, el Presidente del Comité invitará al Miembro de que se trate a celebrar tal consulta. Entre los factores que podrán examinarse en la consulta figurarán el establecimiento de nuevos tipos de medidas restrictivas por motivos de balanza de pagos o el aumento del nivel de las restricciones o del número de productos por ellas abarcados.</w:t>
      </w:r>
    </w:p>
    <w:p w14:paraId="2375D5E9" w14:textId="77777777" w:rsidR="006B24D1" w:rsidRPr="000E0D7F" w:rsidRDefault="006B24D1" w:rsidP="006B24D1">
      <w:pPr>
        <w:spacing w:after="240"/>
      </w:pPr>
      <w:r w:rsidRPr="000E0D7F">
        <w:t>7.</w:t>
      </w:r>
      <w:r w:rsidRPr="000E0D7F">
        <w:tab/>
        <w:t>Todas las restricciones aplicadas por motivos de balanza de pagos serán objeto de examen periódico en el Comité con arreglo al párrafo 4 b) del artículo XII o al párrafo 12 b) del artículo XVIII, a reserva de la posibilidad de alterar la periodicidad de las consultas de acuerdo con el Miembro objeto de las mismas o en cumplimiento de algún procedimiento específico de examen que pueda recomendar el Consejo General.</w:t>
      </w:r>
    </w:p>
    <w:p w14:paraId="7A9C16F2" w14:textId="77777777" w:rsidR="006B24D1" w:rsidRPr="000E0D7F" w:rsidRDefault="006B24D1" w:rsidP="006B24D1">
      <w:pPr>
        <w:spacing w:after="240"/>
      </w:pPr>
      <w:r w:rsidRPr="000E0D7F">
        <w:t>8.</w:t>
      </w:r>
      <w:r w:rsidRPr="000E0D7F">
        <w:tab/>
        <w:t>Las consultas podrán celebrarse siguiendo el procedimiento simplificado aprobado el 19 de diciembre de 1972 (IBDD 20S/53-55, denominado en el presente Entendimiento "procedimiento de consulta simplificada") en el caso de los Miembros que sean países menos adelantados o en el de países en desarrollo Miembros que estén realizando esfuerzos de liberalización de conformidad con el calendario presentado al Comité en anteriores consultas. El procedimiento de consulta simplificada podrá utilizarse también cuando el examen de las políticas comerciales de un país en desarrollo Miembro esté programado para el mismo año civil en que se haya fijado la fecha de las consultas. En tales casos, la decisión en cuanto a si deberá utilizarse el procedimiento de consulta plena se basará en los factores enumerados en el párrafo 8 de la Declaración de 1979. Excepto en el caso de países menos adelantados Miembros, no podrán celebrarse más de dos consultas sucesivas siguiendo el procedimiento de consulta simplificada.</w:t>
      </w:r>
    </w:p>
    <w:p w14:paraId="512930CF" w14:textId="77777777" w:rsidR="006B24D1" w:rsidRPr="000E0D7F" w:rsidRDefault="006B24D1" w:rsidP="006B24D1">
      <w:pPr>
        <w:spacing w:after="240"/>
        <w:rPr>
          <w:i/>
          <w:iCs/>
        </w:rPr>
      </w:pPr>
      <w:r w:rsidRPr="000E0D7F">
        <w:rPr>
          <w:i/>
          <w:iCs/>
        </w:rPr>
        <w:t>Notificación y documentación</w:t>
      </w:r>
    </w:p>
    <w:p w14:paraId="34424872" w14:textId="77777777" w:rsidR="006B24D1" w:rsidRPr="000E0D7F" w:rsidRDefault="006B24D1" w:rsidP="006B24D1">
      <w:pPr>
        <w:spacing w:after="240"/>
        <w:rPr>
          <w:szCs w:val="18"/>
        </w:rPr>
      </w:pPr>
      <w:r w:rsidRPr="000E0D7F">
        <w:rPr>
          <w:color w:val="131413"/>
          <w:szCs w:val="18"/>
        </w:rPr>
        <w:t>9.</w:t>
      </w:r>
      <w:r w:rsidRPr="000E0D7F">
        <w:rPr>
          <w:color w:val="131413"/>
          <w:szCs w:val="18"/>
        </w:rPr>
        <w:tab/>
        <w:t>Todo Miembro notificará al Consejo General el establecimiento de medidas de restricción de las importaciones adoptadas por motivos de balanza de pagos o los cambios que puedan introducirse en su aplicación, así como las modificaciones que puedan hacerse en los calendarios previstos para la eliminación de esas medidas, que hayan anunciado conforme a lo dispuesto en el párrafo 1. Los cambios importantes se notificarán al Consejo General previamente a su anuncio o no más tarde de 30 días después de éste. Anualmente cada Miembro facilitará a la Secretaría, para su examen por los Miembros, una notificación refundida en la que se indicarán todas las modificaciones de las leyes, reglamentos, declaraciones de política o avisos públicos. Las notificaciones contendrán, en la medida de lo posible, información completa, a nivel de línea arancelaria, sobre el tipo de medidas aplicadas, los criterios utilizados para su aplicación, los productos abarcados y las corrientes comerciales afectadas.</w:t>
      </w:r>
    </w:p>
    <w:p w14:paraId="6DE20FAF" w14:textId="77777777" w:rsidR="006B24D1" w:rsidRPr="000E0D7F" w:rsidRDefault="006B24D1" w:rsidP="006B24D1">
      <w:pPr>
        <w:keepLines/>
        <w:spacing w:after="240"/>
        <w:rPr>
          <w:szCs w:val="18"/>
        </w:rPr>
      </w:pPr>
      <w:r w:rsidRPr="000E0D7F">
        <w:rPr>
          <w:color w:val="131413"/>
          <w:szCs w:val="18"/>
        </w:rPr>
        <w:lastRenderedPageBreak/>
        <w:t>10.</w:t>
      </w:r>
      <w:r w:rsidRPr="000E0D7F">
        <w:rPr>
          <w:color w:val="131413"/>
          <w:szCs w:val="18"/>
        </w:rPr>
        <w:tab/>
        <w:t xml:space="preserve">A petición de un Miembro, las </w:t>
      </w:r>
      <w:r w:rsidRPr="00375676">
        <w:t>notificaciones podrán ser objeto de examen</w:t>
      </w:r>
      <w:r w:rsidRPr="000E0D7F">
        <w:rPr>
          <w:color w:val="131413"/>
          <w:szCs w:val="18"/>
        </w:rPr>
        <w:t xml:space="preserve"> por el Comité. Tales exámenes quedarán circunscritos a aclarar cuestiones específicas planteadas por una notificación o a considerar si es necesario celebrar una consulta con arreglo al párrafo 4 a) del artículo XII o al párrafo 12 a) del artículo XVIII. Cualquier Miembro que tenga razones para creer que una medida de restricción de las importaciones aplicada por otro Miembro se ha adoptado por motivos de balanza de pagos, podrá someter el asunto a la consideración del Comité. El Presidente del Comité recabará información sobre la medida y la facilitará a todos los Miembros. Sin perjuicio del derecho de todo miembro del Comité a pedir las aclaraciones oportunas en el curso de las consultas, podrán formularse preguntas por anticipado para que las examine el Miembro objeto de la consulta.</w:t>
      </w:r>
    </w:p>
    <w:p w14:paraId="1480975A" w14:textId="77777777" w:rsidR="006B24D1" w:rsidRPr="000E0D7F" w:rsidRDefault="006B24D1" w:rsidP="006B24D1">
      <w:pPr>
        <w:spacing w:after="240"/>
        <w:rPr>
          <w:szCs w:val="18"/>
        </w:rPr>
      </w:pPr>
      <w:r w:rsidRPr="000E0D7F">
        <w:t>11.</w:t>
      </w:r>
      <w:r w:rsidRPr="000E0D7F">
        <w:tab/>
        <w:t>El</w:t>
      </w:r>
      <w:r w:rsidRPr="000E0D7F">
        <w:rPr>
          <w:color w:val="131413"/>
          <w:szCs w:val="18"/>
        </w:rPr>
        <w:t xml:space="preserve"> Miembro objeto de la consulta preparará al efecto un Documento Básico que, además de cualquier otra información que se considere pertinente, contendrá: a) un resumen general de la situación y perspectivas de la balanza de pagos, con consideración de los factores internos y externos que influyan en dicha situación y de las medidas de política interna adoptadas para restablecer el equilibrio sobre una base sana y duradera; b) una descripción completa de las restricciones aplicadas por motivos de balanza de pagos, su fundamento jurídico y las disposiciones adoptadas para reducir los efectos de protección incidentales; c) una indicación de las medidas adoptadas desde la última consulta para liberalizar las restricciones de las importaciones, a la luz de las conclusiones del Comité; y d) un plan para la eliminación y la atenuación progresiva de las restricciones subsistentes. Podrá hacerse referencia, cuando proceda, a la información facilitada en otras notificaciones o informes presentados a la OMC. En el procedimiento de consulta simplificada, el Miembro objeto de la consulta presentará una declaración por escrito que contenga información esencial sobre los elementos abarcados por el Documento Básico.</w:t>
      </w:r>
    </w:p>
    <w:p w14:paraId="243B0507" w14:textId="77777777" w:rsidR="006B24D1" w:rsidRPr="000E0D7F" w:rsidRDefault="006B24D1" w:rsidP="006B24D1">
      <w:pPr>
        <w:spacing w:after="240"/>
        <w:rPr>
          <w:szCs w:val="18"/>
        </w:rPr>
      </w:pPr>
      <w:r w:rsidRPr="000E0D7F">
        <w:t>12.</w:t>
      </w:r>
      <w:r w:rsidRPr="000E0D7F">
        <w:tab/>
        <w:t>Con</w:t>
      </w:r>
      <w:r w:rsidRPr="000E0D7F">
        <w:rPr>
          <w:color w:val="131413"/>
          <w:szCs w:val="18"/>
        </w:rPr>
        <w:t xml:space="preserve"> objeto de facilitar las consultas en el Comité, la Secretaría preparará un documento de información fáctico sobre los diferentes aspectos del plan de las consultas. En el caso de los países en desarrollo Miembros, el documento de la Secretaría incluirá información de base e información analítica pertinente sobre la incidencia del clima comercial externo en la situación y perspectivas de la balanza de pagos del Miembro objeto de la consulta. A petición de un país en desarrollo Miembro, los servicios de asistencia técnica de la Secretaría ayudarán a preparar la documentación para las consultas.</w:t>
      </w:r>
    </w:p>
    <w:p w14:paraId="073CB344" w14:textId="77777777" w:rsidR="006B24D1" w:rsidRPr="000E0D7F" w:rsidRDefault="006B24D1" w:rsidP="006B24D1">
      <w:pPr>
        <w:spacing w:after="240"/>
        <w:rPr>
          <w:i/>
          <w:iCs/>
        </w:rPr>
      </w:pPr>
      <w:r w:rsidRPr="000E0D7F">
        <w:rPr>
          <w:i/>
          <w:iCs/>
        </w:rPr>
        <w:t>Conclusiones de las consultas sobre las restricciones impuestas por motivos de balanza de pagos</w:t>
      </w:r>
    </w:p>
    <w:p w14:paraId="1459B77B" w14:textId="3EB5E363" w:rsidR="00850889" w:rsidRPr="006B24D1" w:rsidRDefault="006B24D1" w:rsidP="006B24D1">
      <w:r w:rsidRPr="000E0D7F">
        <w:rPr>
          <w:color w:val="131413"/>
          <w:szCs w:val="18"/>
        </w:rPr>
        <w:t>13.</w:t>
      </w:r>
      <w:r w:rsidRPr="000E0D7F">
        <w:rPr>
          <w:color w:val="131413"/>
          <w:szCs w:val="18"/>
        </w:rPr>
        <w:tab/>
        <w:t>El Comité informará al Consejo General de sus consultas. Cuando se haya utilizado el procedimiento de consulta plena, deberán indicarse en el informe las conclusiones del Comité sobre los diferentes elementos del plan de las consultas, así como los hechos y razones en que se basan. El Comité procurará incluir en sus conclusiones propuestas de recomendaciones encaminadas a promover la aplicación del artículo XII, la sección B del artículo XVIII, la Declaración de 1979 y el presente Entendimiento. En los casos en que se haya presentado un calendario para la eliminación de las medidas restrictivas adoptadas por motivos de balanza de pagos, el Consejo General podrá recomendar que se considere que un Miembro cumple sus obligaciones en el marco del GATT de</w:t>
      </w:r>
      <w:r>
        <w:rPr>
          <w:color w:val="131413"/>
          <w:szCs w:val="18"/>
        </w:rPr>
        <w:t> </w:t>
      </w:r>
      <w:r w:rsidRPr="000E0D7F">
        <w:rPr>
          <w:color w:val="131413"/>
          <w:szCs w:val="18"/>
        </w:rPr>
        <w:t>1994 si respeta tal calendario. Cuando el Consejo General haya formulado recomendaciones específicas, se evaluarán los derechos y obligaciones de los Miembros a la luz de tales recomendaciones. A falta de propuestas específicas de recomendación del Consejo General, en las conclusiones deberán recogerse las diferentes opiniones expresadas en el Comité. Cuando se haya utilizado el procedimiento de consulta simplificada, el informe contendrá un resumen de los principales elementos examinados en el Comité y una decisión sobre si es o no necesario el procedimiento de consulta plena.</w:t>
      </w:r>
    </w:p>
    <w:sectPr w:rsidR="00850889" w:rsidRPr="006B24D1"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62E122D5" w14:textId="1596D9D6" w:rsidR="006B24D1" w:rsidRDefault="006B24D1" w:rsidP="006B24D1">
      <w:pPr>
        <w:pStyle w:val="FootnoteText"/>
        <w:rPr>
          <w:lang w:val="es-ES"/>
        </w:rPr>
      </w:pPr>
      <w:r w:rsidRPr="006B24D1">
        <w:rPr>
          <w:rStyle w:val="FootnoteReference"/>
          <w:lang w:val="es-ES"/>
        </w:rPr>
        <w:t>2</w:t>
      </w:r>
      <w:r w:rsidRPr="006B24D1">
        <w:rPr>
          <w:lang w:val="es-ES"/>
        </w:rPr>
        <w:t xml:space="preserve"> Nada de lo dispuesto en este Entendimiento tiene por objeto modificar los derechos y obligaciones que corresponden a los Miembros en virtud del artículo XII o de la sección B del artículo XVIII del GATT de 1994. Podrán invocarse las disposiciones de los artículos XXII y XXIII del GATT de 1994, desarrolladas y aplicadas en virtud del Entendimiento sobre Solución de Diferencias, con respecto a todo asunto que se plantee a raíz de la aplicación de medidas de restricción de las importaciones adoptadas por motivos de balanza de pagos.</w:t>
      </w:r>
    </w:p>
    <w:p w14:paraId="572FA4EE" w14:textId="13871D92" w:rsidR="00CF19F2" w:rsidRPr="000B5D5E" w:rsidRDefault="00CF19F2" w:rsidP="006B24D1">
      <w:pPr>
        <w:pStyle w:val="FootnoteText"/>
        <w:rPr>
          <w:lang w:val="es-ES"/>
        </w:rPr>
      </w:pPr>
      <w:r w:rsidRPr="00CF19F2">
        <w:rPr>
          <w:vertAlign w:val="superscript"/>
          <w:lang w:val="es-ES"/>
        </w:rPr>
        <w:t>a</w:t>
      </w:r>
      <w:r>
        <w:rPr>
          <w:lang w:val="es-ES"/>
        </w:rPr>
        <w:t xml:space="preserve"> </w:t>
      </w:r>
      <w:r w:rsidRPr="00CF19F2">
        <w:rPr>
          <w:b/>
          <w:bCs/>
          <w:u w:val="single"/>
          <w:lang w:val="es-ES"/>
        </w:rPr>
        <w:t>Nota editorial</w:t>
      </w:r>
      <w:r w:rsidRPr="00CF19F2">
        <w:rPr>
          <w:b/>
          <w:bCs/>
          <w:lang w:val="es-ES"/>
        </w:rPr>
        <w:t>:</w:t>
      </w:r>
      <w:r w:rsidRPr="00CF19F2">
        <w:rPr>
          <w:lang w:val="es-ES"/>
        </w:rPr>
        <w:t xml:space="preserve"> En la versión auténtica del texto en español se lee erróneamente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43C08"/>
    <w:rsid w:val="005B04B9"/>
    <w:rsid w:val="005B68C7"/>
    <w:rsid w:val="005B7054"/>
    <w:rsid w:val="005D0152"/>
    <w:rsid w:val="005D5981"/>
    <w:rsid w:val="005F30CB"/>
    <w:rsid w:val="00612644"/>
    <w:rsid w:val="00674CCD"/>
    <w:rsid w:val="006A18DC"/>
    <w:rsid w:val="006B24D1"/>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AF7454"/>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CF19F2"/>
    <w:rsid w:val="00D000C7"/>
    <w:rsid w:val="00D52A9D"/>
    <w:rsid w:val="00D55AAD"/>
    <w:rsid w:val="00D747AE"/>
    <w:rsid w:val="00D9226C"/>
    <w:rsid w:val="00DA07CB"/>
    <w:rsid w:val="00DA20BD"/>
    <w:rsid w:val="00DE50DB"/>
    <w:rsid w:val="00DF6AE1"/>
    <w:rsid w:val="00E150A2"/>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4D1"/>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1991</Words>
  <Characters>10697</Characters>
  <Application>Microsoft Office Word</Application>
  <DocSecurity>0</DocSecurity>
  <Lines>172</Lines>
  <Paragraphs>65</Paragraphs>
  <ScaleCrop>false</ScaleCrop>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Mitchell, Madeleine</cp:lastModifiedBy>
  <cp:revision>4</cp:revision>
  <dcterms:created xsi:type="dcterms:W3CDTF">2022-02-08T21:58:00Z</dcterms:created>
  <dcterms:modified xsi:type="dcterms:W3CDTF">2022-10-03T08:45:00Z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