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1704A" w14:textId="77777777" w:rsidR="00C93CD7" w:rsidRDefault="00C93CD7" w:rsidP="00C93CD7"/>
    <w:p w14:paraId="15BD7677" w14:textId="77777777" w:rsidR="00C93CD7" w:rsidRDefault="00C93CD7" w:rsidP="00C93CD7"/>
    <w:p w14:paraId="207673D2" w14:textId="77777777" w:rsidR="00C93CD7" w:rsidRDefault="00C93CD7" w:rsidP="00C93CD7"/>
    <w:p w14:paraId="7B4608CA" w14:textId="77777777" w:rsidR="00C93CD7" w:rsidRDefault="00C93CD7" w:rsidP="00C93CD7"/>
    <w:p w14:paraId="48CC34DA" w14:textId="77777777" w:rsidR="00C93CD7" w:rsidRDefault="00C93CD7" w:rsidP="00C93CD7"/>
    <w:p w14:paraId="5D14789E" w14:textId="77777777" w:rsidR="00C93CD7" w:rsidRDefault="00C93CD7" w:rsidP="00C93CD7"/>
    <w:p w14:paraId="7564350A" w14:textId="77777777" w:rsidR="00C93CD7" w:rsidRDefault="00C93CD7" w:rsidP="00C93CD7"/>
    <w:p w14:paraId="2053B333" w14:textId="77777777" w:rsidR="00C93CD7" w:rsidRDefault="00C93CD7" w:rsidP="00C93CD7"/>
    <w:p w14:paraId="460E7B07" w14:textId="77777777" w:rsidR="00C93CD7" w:rsidRDefault="00C93CD7" w:rsidP="00C93CD7"/>
    <w:p w14:paraId="34928AAB" w14:textId="77777777" w:rsidR="00C93CD7" w:rsidRDefault="00C93CD7" w:rsidP="00C93CD7"/>
    <w:p w14:paraId="74DE94C4" w14:textId="77777777" w:rsidR="00C93CD7" w:rsidRDefault="00C93CD7" w:rsidP="00C93CD7"/>
    <w:p w14:paraId="19FE0A75" w14:textId="77777777" w:rsidR="00C93CD7" w:rsidRDefault="00C93CD7" w:rsidP="00C93CD7"/>
    <w:p w14:paraId="41E3E9AB" w14:textId="77777777" w:rsidR="00C93CD7" w:rsidRDefault="00C93CD7" w:rsidP="00C93CD7"/>
    <w:p w14:paraId="5F8823AE" w14:textId="77777777" w:rsidR="00C93CD7" w:rsidRDefault="00C93CD7" w:rsidP="00C93CD7"/>
    <w:p w14:paraId="04CDACE5" w14:textId="77777777" w:rsidR="00C93CD7" w:rsidRDefault="00C93CD7" w:rsidP="00C93CD7"/>
    <w:p w14:paraId="616E8922" w14:textId="77777777" w:rsidR="00C93CD7" w:rsidRDefault="00C93CD7" w:rsidP="00C93CD7"/>
    <w:p w14:paraId="688FC32D" w14:textId="77777777" w:rsidR="00C93CD7" w:rsidRDefault="00C93CD7" w:rsidP="00C93CD7"/>
    <w:p w14:paraId="6E3F8FC7" w14:textId="77777777" w:rsidR="00C93CD7" w:rsidRDefault="00C93CD7" w:rsidP="00C93CD7"/>
    <w:p w14:paraId="177BBDDB" w14:textId="77777777" w:rsidR="00C93CD7" w:rsidRDefault="00C93CD7" w:rsidP="00C93CD7"/>
    <w:p w14:paraId="012F3814" w14:textId="77777777" w:rsidR="00C93CD7" w:rsidRPr="000E0D7F" w:rsidRDefault="00C93CD7" w:rsidP="00C93CD7"/>
    <w:p w14:paraId="0B870F9D" w14:textId="77777777" w:rsidR="00C93CD7" w:rsidRPr="000E0D7F" w:rsidRDefault="00C93CD7" w:rsidP="00C93CD7"/>
    <w:p w14:paraId="576EC44A" w14:textId="77777777" w:rsidR="00C93CD7" w:rsidRPr="000E0D7F" w:rsidRDefault="00C93CD7" w:rsidP="00C93CD7">
      <w:pPr>
        <w:spacing w:after="240"/>
        <w:jc w:val="center"/>
        <w:rPr>
          <w:b/>
          <w:bCs/>
        </w:rPr>
      </w:pPr>
      <w:r w:rsidRPr="000E0D7F">
        <w:rPr>
          <w:b/>
          <w:bCs/>
        </w:rPr>
        <w:t xml:space="preserve">ENTENDIMIENTO RELATIVO A LA INTERPRETACIÓN DEL </w:t>
      </w:r>
      <w:r w:rsidRPr="000E0D7F">
        <w:rPr>
          <w:b/>
          <w:bCs/>
        </w:rPr>
        <w:br/>
        <w:t xml:space="preserve">ARTÍCULO XXIV DEL ACUERDO GENERAL SOBRE </w:t>
      </w:r>
      <w:r w:rsidRPr="000E0D7F">
        <w:rPr>
          <w:b/>
          <w:bCs/>
        </w:rPr>
        <w:br/>
        <w:t>ARANCELES ADUANEROS Y COMERCIO DE 1994</w:t>
      </w:r>
    </w:p>
    <w:p w14:paraId="4F6D3073" w14:textId="77777777" w:rsidR="00C93CD7" w:rsidRPr="000E0D7F" w:rsidRDefault="00C93CD7" w:rsidP="00C93CD7"/>
    <w:p w14:paraId="2AE87A9B" w14:textId="77777777" w:rsidR="00C93CD7" w:rsidRPr="000E0D7F" w:rsidRDefault="00C93CD7" w:rsidP="00C93CD7">
      <w:pPr>
        <w:spacing w:after="240"/>
        <w:jc w:val="left"/>
        <w:rPr>
          <w:szCs w:val="18"/>
        </w:rPr>
      </w:pPr>
      <w:r w:rsidRPr="000E0D7F">
        <w:rPr>
          <w:szCs w:val="18"/>
        </w:rPr>
        <w:br w:type="page"/>
      </w:r>
    </w:p>
    <w:p w14:paraId="33B44315" w14:textId="77777777" w:rsidR="00C93CD7" w:rsidRPr="000E0D7F" w:rsidRDefault="00C93CD7" w:rsidP="00C93CD7">
      <w:pPr>
        <w:spacing w:after="240"/>
        <w:jc w:val="center"/>
        <w:rPr>
          <w:b/>
          <w:bCs/>
        </w:rPr>
      </w:pPr>
      <w:r w:rsidRPr="000E0D7F">
        <w:rPr>
          <w:b/>
          <w:bCs/>
        </w:rPr>
        <w:lastRenderedPageBreak/>
        <w:t xml:space="preserve">ENTENDIMIENTO RELATIVO A LA INTERPRETACIÓN DEL </w:t>
      </w:r>
      <w:r w:rsidRPr="000E0D7F">
        <w:rPr>
          <w:b/>
          <w:bCs/>
        </w:rPr>
        <w:br/>
        <w:t xml:space="preserve">ARTÍCULO XXIV DEL ACUERDO GENERAL SOBRE </w:t>
      </w:r>
      <w:r w:rsidRPr="000E0D7F">
        <w:rPr>
          <w:b/>
          <w:bCs/>
        </w:rPr>
        <w:br/>
        <w:t>ARANCELES ADUANEROS Y COMERCIO DE 1994</w:t>
      </w:r>
    </w:p>
    <w:p w14:paraId="257E4E01" w14:textId="77777777" w:rsidR="00C93CD7" w:rsidRPr="000E0D7F" w:rsidRDefault="00C93CD7" w:rsidP="00C93CD7">
      <w:pPr>
        <w:spacing w:after="240"/>
        <w:rPr>
          <w:i/>
        </w:rPr>
      </w:pPr>
      <w:r w:rsidRPr="000E0D7F">
        <w:rPr>
          <w:i/>
        </w:rPr>
        <w:t>Los Miembros,</w:t>
      </w:r>
    </w:p>
    <w:p w14:paraId="798339E0" w14:textId="77777777" w:rsidR="00C93CD7" w:rsidRPr="000E0D7F" w:rsidRDefault="00C93CD7" w:rsidP="00C93CD7">
      <w:pPr>
        <w:spacing w:after="240"/>
        <w:ind w:firstLine="567"/>
      </w:pPr>
      <w:r w:rsidRPr="000E0D7F">
        <w:rPr>
          <w:i/>
        </w:rPr>
        <w:t xml:space="preserve">Teniendo en cuenta </w:t>
      </w:r>
      <w:r w:rsidRPr="000E0D7F">
        <w:t>las disposiciones del artículo XXIV del GATT de 1994;</w:t>
      </w:r>
    </w:p>
    <w:p w14:paraId="3A504B73" w14:textId="77777777" w:rsidR="00C93CD7" w:rsidRPr="000E0D7F" w:rsidRDefault="00C93CD7" w:rsidP="00C93CD7">
      <w:pPr>
        <w:spacing w:after="240"/>
        <w:ind w:firstLine="567"/>
      </w:pPr>
      <w:r w:rsidRPr="000E0D7F">
        <w:rPr>
          <w:i/>
        </w:rPr>
        <w:t xml:space="preserve">Reconociendo </w:t>
      </w:r>
      <w:r w:rsidRPr="000E0D7F">
        <w:t>que las uniones aduaneras y zonas de libre comercio han crecido considerablemente en número e importancia desde el establecimiento del GATT de 1947 y que abarcan actualmente una proporción importante del comercio mundial;</w:t>
      </w:r>
    </w:p>
    <w:p w14:paraId="356B4508" w14:textId="77777777" w:rsidR="00C93CD7" w:rsidRPr="000E0D7F" w:rsidRDefault="00C93CD7" w:rsidP="00C93CD7">
      <w:pPr>
        <w:spacing w:after="240"/>
        <w:ind w:firstLine="567"/>
      </w:pPr>
      <w:r w:rsidRPr="000E0D7F">
        <w:rPr>
          <w:i/>
        </w:rPr>
        <w:t xml:space="preserve">Reconociendo </w:t>
      </w:r>
      <w:r w:rsidRPr="000E0D7F">
        <w:t>la contribución a la expansión del comercio mundial que puede hacerse mediante una integración mayor de las economías de los países que participan en tales acuerdos;</w:t>
      </w:r>
    </w:p>
    <w:p w14:paraId="6F441DF8" w14:textId="77777777" w:rsidR="00C93CD7" w:rsidRPr="000E0D7F" w:rsidRDefault="00C93CD7" w:rsidP="00C93CD7">
      <w:pPr>
        <w:spacing w:after="240"/>
        <w:ind w:firstLine="567"/>
      </w:pPr>
      <w:r w:rsidRPr="000E0D7F">
        <w:rPr>
          <w:i/>
        </w:rPr>
        <w:t xml:space="preserve">Reconociendo </w:t>
      </w:r>
      <w:r w:rsidRPr="000E0D7F">
        <w:t>asimismo que esa contribución es mayor si la eliminación de los derechos de aduana y las demás reglamentaciones comerciales restrictivas entre los territorios constitutivos se extiende a todo el comercio, y menor si queda excluido de ella alguno de sus sectores importantes;</w:t>
      </w:r>
    </w:p>
    <w:p w14:paraId="233E99AC" w14:textId="77777777" w:rsidR="00C93CD7" w:rsidRPr="000E0D7F" w:rsidRDefault="00C93CD7" w:rsidP="00C93CD7">
      <w:pPr>
        <w:spacing w:after="240"/>
        <w:ind w:firstLine="567"/>
      </w:pPr>
      <w:r w:rsidRPr="000E0D7F">
        <w:rPr>
          <w:i/>
        </w:rPr>
        <w:t xml:space="preserve">Reafirmando </w:t>
      </w:r>
      <w:r w:rsidRPr="000E0D7F">
        <w:t>que el objeto de esos acuerdos debe ser facilitar el comercio entre los territorios constitutivos y no erigir obstáculos al comercio de otros Miembros con esos territorios; y que las partes en esos acuerdos deben evitar, en toda la medida posible, que su establecimiento o ampliación tenga efectos desfavorables en el comercio de otros Miembros;</w:t>
      </w:r>
    </w:p>
    <w:p w14:paraId="339A2896" w14:textId="77777777" w:rsidR="00C93CD7" w:rsidRPr="000E0D7F" w:rsidRDefault="00C93CD7" w:rsidP="00C93CD7">
      <w:pPr>
        <w:spacing w:after="240"/>
        <w:ind w:firstLine="567"/>
      </w:pPr>
      <w:r w:rsidRPr="000E0D7F">
        <w:rPr>
          <w:i/>
        </w:rPr>
        <w:t xml:space="preserve">Convencidos </w:t>
      </w:r>
      <w:r w:rsidRPr="000E0D7F">
        <w:t>también de la necesidad de reforzar la eficacia de la función del Consejo del Comercio de Mercancías en el examen de los acuerdos notificados en virtud del artículo XXIV, mediante la aclaración de los criterios y procedimientos de evaluación de los acuerdos, tanto nuevos como ampliados, y la mejora de la transparencia de todos los acuerdos concluidos al amparo de dicho artículo;</w:t>
      </w:r>
    </w:p>
    <w:p w14:paraId="3C13D8CF" w14:textId="77777777" w:rsidR="00C93CD7" w:rsidRPr="000E0D7F" w:rsidRDefault="00C93CD7" w:rsidP="00C93CD7">
      <w:pPr>
        <w:spacing w:after="240"/>
        <w:ind w:firstLine="567"/>
      </w:pPr>
      <w:r w:rsidRPr="000E0D7F">
        <w:rPr>
          <w:i/>
        </w:rPr>
        <w:t xml:space="preserve">Reconociendo </w:t>
      </w:r>
      <w:r w:rsidRPr="000E0D7F">
        <w:t>la necesidad de llegar a un común entendimiento de las obligaciones contraídas por los Miembros en virtud del párrafo 12 del artículo XXIV;</w:t>
      </w:r>
    </w:p>
    <w:p w14:paraId="607160A1" w14:textId="77777777" w:rsidR="00C93CD7" w:rsidRPr="000E0D7F" w:rsidRDefault="00C93CD7" w:rsidP="00C93CD7">
      <w:pPr>
        <w:spacing w:after="240"/>
        <w:ind w:firstLine="567"/>
      </w:pPr>
      <w:r w:rsidRPr="000E0D7F">
        <w:rPr>
          <w:i/>
        </w:rPr>
        <w:t xml:space="preserve">Convienen </w:t>
      </w:r>
      <w:r w:rsidRPr="000E0D7F">
        <w:t>en lo siguiente:</w:t>
      </w:r>
    </w:p>
    <w:p w14:paraId="7894DBBF" w14:textId="77777777" w:rsidR="00C93CD7" w:rsidRPr="000E0D7F" w:rsidRDefault="00C93CD7" w:rsidP="00C93CD7">
      <w:pPr>
        <w:spacing w:after="240"/>
      </w:pPr>
      <w:r w:rsidRPr="000E0D7F">
        <w:t>1.</w:t>
      </w:r>
      <w:r w:rsidRPr="000E0D7F">
        <w:tab/>
        <w:t>Para estar en conformidad con el artículo XXIV, las uniones aduaneras, las zonas de libre comercio y los acuerdos provisionales tendientes al establecimiento de una unión aduanera o una zona de libre comercio deberán cumplir, entre otras, las disposiciones de los párrafos 5, 6, 7 y 8 de dicho artículo.</w:t>
      </w:r>
    </w:p>
    <w:p w14:paraId="01BF37BC" w14:textId="77777777" w:rsidR="00C93CD7" w:rsidRPr="000E0D7F" w:rsidRDefault="00C93CD7" w:rsidP="00C93CD7">
      <w:pPr>
        <w:spacing w:after="240"/>
        <w:rPr>
          <w:i/>
        </w:rPr>
      </w:pPr>
      <w:r w:rsidRPr="000E0D7F">
        <w:rPr>
          <w:i/>
        </w:rPr>
        <w:t>Párrafo 5 del artículo XXIV</w:t>
      </w:r>
    </w:p>
    <w:p w14:paraId="1FC9D8D4" w14:textId="77777777" w:rsidR="00C93CD7" w:rsidRPr="000E0D7F" w:rsidRDefault="00C93CD7" w:rsidP="00C93CD7">
      <w:pPr>
        <w:spacing w:after="240"/>
      </w:pPr>
      <w:r w:rsidRPr="000E0D7F">
        <w:t>2.</w:t>
      </w:r>
      <w:r w:rsidRPr="000E0D7F">
        <w:tab/>
        <w:t xml:space="preserve">La evaluación en el marco del párrafo 5 a) del artículo XXIV de la incidencia general de los derechos de aduana y demás reglamentaciones comerciales vigentes antes y después del establecimiento de una unión aduanera se basará, en lo que respecta a los derechos y cargas, en el cálculo global del promedio ponderado de los tipos arancelarios y los derechos de aduana percibidos. Este cálculo se basará a su vez en las estadísticas de importación de un período representativo anterior que facilitará la unión aduanera, expresadas a nivel de línea arancelaria y en valor y volumen, y desglosadas por países de origen miembros de la OMC. La Secretaría calculará los promedios ponderados de los tipos arancelarios y los derechos de aduana percibidos siguiendo la metodología utilizada para la evaluación de las ofertas arancelarias en la Ronda Uruguay de Negociaciones Comerciales Multilaterales. Para ello, los derechos y cargas que se tomarán en consideración serán los tipos aplicados. Se reconoce que, a efectos de la evaluación global de la incidencia de las demás reglamentaciones comerciales, cuya cuantificación </w:t>
      </w:r>
      <w:r w:rsidRPr="00F66FB4">
        <w:t>y agregación son difíciles</w:t>
      </w:r>
      <w:r w:rsidRPr="000E0D7F">
        <w:t>, quizá sea preciso el examen de las distintas medidas, reglamentaciones, productos abarcados y corrientes comerciales afectadas.</w:t>
      </w:r>
    </w:p>
    <w:p w14:paraId="1D8FF2F8" w14:textId="77777777" w:rsidR="00C93CD7" w:rsidRPr="000E0D7F" w:rsidRDefault="00C93CD7" w:rsidP="00C93CD7">
      <w:pPr>
        <w:spacing w:after="240"/>
      </w:pPr>
      <w:r w:rsidRPr="000E0D7F">
        <w:t>3.</w:t>
      </w:r>
      <w:r w:rsidRPr="000E0D7F">
        <w:tab/>
        <w:t>El "plazo razonable" al que se refiere el párrafo 5 c) del artículo XXIV no deberá ser superior a 10 años salvo en casos excepcionales. Cuando los Miembros que sean partes en un acuerdo provisional consideren que 10 años serían un plazo insuficiente, darán al Consejo del Comercio de Mercancías una explicación completa de la necesidad de un plazo mayor.</w:t>
      </w:r>
    </w:p>
    <w:p w14:paraId="3668D62E" w14:textId="77777777" w:rsidR="00C93CD7" w:rsidRPr="000E0D7F" w:rsidRDefault="00C93CD7" w:rsidP="00C93CD7">
      <w:pPr>
        <w:keepNext/>
        <w:spacing w:after="240"/>
        <w:rPr>
          <w:i/>
        </w:rPr>
      </w:pPr>
      <w:r w:rsidRPr="000E0D7F">
        <w:rPr>
          <w:i/>
        </w:rPr>
        <w:lastRenderedPageBreak/>
        <w:t>Párrafo 6 del artículo XXIV</w:t>
      </w:r>
    </w:p>
    <w:p w14:paraId="6EED847D" w14:textId="77777777" w:rsidR="00C93CD7" w:rsidRPr="000E0D7F" w:rsidRDefault="00C93CD7" w:rsidP="00C93CD7">
      <w:pPr>
        <w:spacing w:after="240"/>
      </w:pPr>
      <w:r w:rsidRPr="000E0D7F">
        <w:t>4.</w:t>
      </w:r>
      <w:r w:rsidRPr="000E0D7F">
        <w:tab/>
        <w:t>En el párrafo 6 del artículo XXIV se establece el procedimiento que debe seguirse cuando un Miembro que esté constituyendo una unión aduanera tenga el propósito de aumentar el tipo consolidado de un derecho. A este respecto, los Miembros reafirman que el procedimiento establecido en el artículo XXVIII, desarrollado en las directrices adoptadas el 10 de noviembre de</w:t>
      </w:r>
      <w:r>
        <w:t> </w:t>
      </w:r>
      <w:r w:rsidRPr="000E0D7F">
        <w:t>1980 (IBDD</w:t>
      </w:r>
      <w:r>
        <w:t xml:space="preserve"> </w:t>
      </w:r>
      <w:r w:rsidRPr="000E0D7F">
        <w:t>27S/27-28) y en el Entendimiento relativo a la interpretación del artículo XXVIII del</w:t>
      </w:r>
      <w:r>
        <w:t> </w:t>
      </w:r>
      <w:r w:rsidRPr="000E0D7F">
        <w:t>GATT de</w:t>
      </w:r>
      <w:r>
        <w:t xml:space="preserve"> </w:t>
      </w:r>
      <w:r w:rsidRPr="000E0D7F">
        <w:t>1994, debe iniciarse antes de que se modifiquen o retiren concesiones arancelarias a raíz del establecimiento de una unión aduanera o de la conclusión de un acuerdo provisional tendiente al establecimiento de una unión aduanera.</w:t>
      </w:r>
    </w:p>
    <w:p w14:paraId="2900B130" w14:textId="77777777" w:rsidR="00C93CD7" w:rsidRPr="000E0D7F" w:rsidRDefault="00C93CD7" w:rsidP="00C93CD7">
      <w:pPr>
        <w:spacing w:after="240"/>
      </w:pPr>
      <w:r w:rsidRPr="000E0D7F">
        <w:t>5.</w:t>
      </w:r>
      <w:r w:rsidRPr="000E0D7F">
        <w:tab/>
        <w:t>Esas negociaciones se entablarán de buena fe con miras a conseguir un ajuste compensatorio mutuamente satisfactorio. En esas negociaciones, conforme a lo estipulado en el párrafo 6 del artículo XXIV, se tendrán debidamente en cuenta las reducciones de derechos realizadas en la misma línea arancelaria por otros constituyentes de la unión aduanera al establecerse ésta. En caso de que esas reducciones no sean suficientes para facilitar el necesario ajuste compensatorio, la unión aduanera ofrecerá una compensación, que podrá consistir en reducciones de derechos aplicables a otras líneas arancelarias. Esa oferta será tenida en cuenta por los Miembros que tengan derechos de negociador respecto de la consolidación modificada o retirada. En caso de que el ajuste compensatorio siga resultando inaceptable, deberán proseguir las negociaciones. Si, a pesar de esos esfuerzos, no puede alcanzarse en las negociaciones un acuerdo sobre el ajuste compensatorio de conformidad con el artículo XXVIII, desarrollado en el Entendimiento relativo a la interpretación del artículo XXVIII del GATT de 1994, en un plazo razonable contado desde la fecha de iniciación de aquéllas, la unión aduanera podrá, a pesar de ello, modificar o retirar las concesiones, y los Miembros afectados podrán retirar concesiones sustancialmente equivalentes, de conformidad con lo dispuesto en el artículo XXVIII.</w:t>
      </w:r>
    </w:p>
    <w:p w14:paraId="1A9A48FE" w14:textId="77777777" w:rsidR="00C93CD7" w:rsidRPr="000E0D7F" w:rsidRDefault="00C93CD7" w:rsidP="00C93CD7">
      <w:pPr>
        <w:spacing w:after="240"/>
      </w:pPr>
      <w:r w:rsidRPr="000E0D7F">
        <w:t>6.</w:t>
      </w:r>
      <w:r w:rsidRPr="000E0D7F">
        <w:tab/>
        <w:t>El GATT de 1994 no impone a los Miembros que se beneficien de una reducción de derechos resultante del establecimiento de una unión aduanera, o de la conclusión de un acuerdo provisional tendiente al establecimiento de una unión aduanera, obligación alguna de otorgar un ajuste compensatorio a sus constituyentes.</w:t>
      </w:r>
    </w:p>
    <w:p w14:paraId="2BEF07D9" w14:textId="77777777" w:rsidR="00C93CD7" w:rsidRPr="000E0D7F" w:rsidRDefault="00C93CD7" w:rsidP="00C93CD7">
      <w:pPr>
        <w:spacing w:after="240"/>
        <w:rPr>
          <w:i/>
        </w:rPr>
      </w:pPr>
      <w:r w:rsidRPr="000E0D7F">
        <w:rPr>
          <w:i/>
        </w:rPr>
        <w:t>Examen de las uniones aduaneras y zonas de libre comercio</w:t>
      </w:r>
    </w:p>
    <w:p w14:paraId="0C0CE5EE" w14:textId="77777777" w:rsidR="00C93CD7" w:rsidRPr="000E0D7F" w:rsidRDefault="00C93CD7" w:rsidP="00C93CD7">
      <w:pPr>
        <w:spacing w:after="240"/>
      </w:pPr>
      <w:r w:rsidRPr="000E0D7F">
        <w:t>7.</w:t>
      </w:r>
      <w:r w:rsidRPr="000E0D7F">
        <w:tab/>
        <w:t>Todas las notificaciones presentadas en virtud del párrafo 7 a) del artículo XXIV serán examinadas por un grupo de trabajo a la luz de las disposiciones pertinentes del GATT de 1994 y del párrafo 1 del presente Entendimiento. Dicho grupo de trabajo presentará un informe sobre sus conclusiones al respecto al Consejo del Comercio de Mercancías, que podrá hacer a los Miembros las recomendaciones que estime apropiadas.</w:t>
      </w:r>
    </w:p>
    <w:p w14:paraId="65DD839F" w14:textId="77777777" w:rsidR="00C93CD7" w:rsidRPr="000E0D7F" w:rsidRDefault="00C93CD7" w:rsidP="00C93CD7">
      <w:pPr>
        <w:spacing w:after="240"/>
      </w:pPr>
      <w:r w:rsidRPr="000E0D7F">
        <w:t>8.</w:t>
      </w:r>
      <w:r w:rsidRPr="000E0D7F">
        <w:tab/>
        <w:t>En cuanto a los acuerdos provisionales, el grupo de trabajo podrá formular en su informe las oportunas recomendaciones sobre el marco temporal propuesto y sobre las medidas necesarias para ultimar el establecimiento de la unión aduanera o zona de libre comercio. De ser preciso, podrá prever un nuevo examen del acuerdo.</w:t>
      </w:r>
    </w:p>
    <w:p w14:paraId="7E0F5262" w14:textId="77777777" w:rsidR="00C93CD7" w:rsidRPr="000E0D7F" w:rsidRDefault="00C93CD7" w:rsidP="00C93CD7">
      <w:pPr>
        <w:spacing w:after="240"/>
      </w:pPr>
      <w:r w:rsidRPr="000E0D7F">
        <w:t>9.</w:t>
      </w:r>
      <w:r w:rsidRPr="000E0D7F">
        <w:tab/>
        <w:t>Los Miembros que sean partes en un acuerdo provisional notificarán todo cambio sustancial que se introduzca en el plan y el programa comprendidos en ese acuerdo al Consejo del Comercio de Mercancías, que lo examinará si así se le solicita.</w:t>
      </w:r>
    </w:p>
    <w:p w14:paraId="2CD881D3" w14:textId="77777777" w:rsidR="00C93CD7" w:rsidRPr="000E0D7F" w:rsidRDefault="00C93CD7" w:rsidP="00C93CD7">
      <w:pPr>
        <w:spacing w:after="240"/>
      </w:pPr>
      <w:r w:rsidRPr="000E0D7F">
        <w:t>10.</w:t>
      </w:r>
      <w:r w:rsidRPr="000E0D7F">
        <w:tab/>
        <w:t>Si en un acuerdo provisional notificado en virtud del párrafo 7 a) del artículo XXIV no figurara un plan y un programa, en contra de lo dispuesto en el párrafo 5 c) del artículo XXIV, el grupo de trabajo los recomendará en su informe. Las partes no mantendrán o pondrán en vigor, según el caso, el acuerdo si no están dispuestas a modificarlo de conformidad con esas recomendaciones. Se preverá la ulterior realización de un examen de la aplicación de las recomendaciones.</w:t>
      </w:r>
    </w:p>
    <w:p w14:paraId="08F937D3" w14:textId="77777777" w:rsidR="00C93CD7" w:rsidRPr="000E0D7F" w:rsidRDefault="00C93CD7" w:rsidP="00C93CD7">
      <w:pPr>
        <w:spacing w:after="240"/>
      </w:pPr>
      <w:r w:rsidRPr="000E0D7F">
        <w:t>11.</w:t>
      </w:r>
      <w:r w:rsidRPr="000E0D7F">
        <w:tab/>
        <w:t>Las uniones aduaneras y los constituyentes de zonas de libre comercio informarán periódicamente al Consejo del Comercio de Mercancías, según lo previsto por las PARTES CONTRATANTES del GATT de 1947 en sus instrucciones al Consejo del GATT de 1947 con respecto a los informes sobre acuerdos regionales (IBDD 18S/42), sobre el funcionamiento del acuerdo correspondiente. Deberán comunicarse, en el momento en que se produzcan, todas las modificaciones y/o acontecimientos importantes que afecten a los acuerdos.</w:t>
      </w:r>
    </w:p>
    <w:p w14:paraId="5BDF47A8" w14:textId="77777777" w:rsidR="00C93CD7" w:rsidRPr="000E0D7F" w:rsidRDefault="00C93CD7" w:rsidP="00C93CD7">
      <w:pPr>
        <w:keepNext/>
        <w:spacing w:after="240"/>
        <w:rPr>
          <w:i/>
        </w:rPr>
      </w:pPr>
      <w:r w:rsidRPr="000E0D7F">
        <w:rPr>
          <w:i/>
        </w:rPr>
        <w:lastRenderedPageBreak/>
        <w:t>Solución de diferencias</w:t>
      </w:r>
    </w:p>
    <w:p w14:paraId="1FCCE61A" w14:textId="77777777" w:rsidR="00C93CD7" w:rsidRPr="000E0D7F" w:rsidRDefault="00C93CD7" w:rsidP="00C93CD7">
      <w:pPr>
        <w:spacing w:after="240"/>
      </w:pPr>
      <w:r w:rsidRPr="000E0D7F">
        <w:t>12.</w:t>
      </w:r>
      <w:r w:rsidRPr="000E0D7F">
        <w:tab/>
        <w:t>Podrá recurrirse a las disposiciones de los artículos XXII y XXIII del GATT de 1994, desarrolladas y aplicadas en virtud del Entendimiento sobre Solución de Diferencias, con respecto a cualesquiera cuestiones derivadas de la aplicación de las disposiciones del artículo XXIV referentes a uniones aduaneras, zonas de libre comercio o acuerdos provisionales tendientes al establecimiento de una unión aduanera o de una zona de libre comercio.</w:t>
      </w:r>
    </w:p>
    <w:p w14:paraId="12A446C5" w14:textId="77777777" w:rsidR="00C93CD7" w:rsidRPr="000E0D7F" w:rsidRDefault="00C93CD7" w:rsidP="00C93CD7">
      <w:pPr>
        <w:spacing w:after="240"/>
        <w:rPr>
          <w:i/>
        </w:rPr>
      </w:pPr>
      <w:r w:rsidRPr="000E0D7F">
        <w:rPr>
          <w:i/>
        </w:rPr>
        <w:t>Párrafo 12 del artículo XXIV</w:t>
      </w:r>
    </w:p>
    <w:p w14:paraId="433BA671" w14:textId="77777777" w:rsidR="00C93CD7" w:rsidRPr="000E0D7F" w:rsidRDefault="00C93CD7" w:rsidP="00C93CD7">
      <w:pPr>
        <w:spacing w:after="240"/>
      </w:pPr>
      <w:r w:rsidRPr="000E0D7F">
        <w:t>13.</w:t>
      </w:r>
      <w:r w:rsidRPr="000E0D7F">
        <w:tab/>
        <w:t>En virtud del GATT de 1994, cada Miembro es plenamente responsable de la observancia de todas las disposiciones de ese instrumento, y tomará las medidas razonables que estén a su alcance para garantizar su observancia por los gobiernos y autoridades regionales y locales dentro de su territorio.</w:t>
      </w:r>
    </w:p>
    <w:p w14:paraId="626D23B3" w14:textId="77777777" w:rsidR="00C93CD7" w:rsidRPr="000E0D7F" w:rsidRDefault="00C93CD7" w:rsidP="00C93CD7">
      <w:pPr>
        <w:spacing w:after="240"/>
      </w:pPr>
      <w:r w:rsidRPr="000E0D7F">
        <w:t>14.</w:t>
      </w:r>
      <w:r w:rsidRPr="000E0D7F">
        <w:tab/>
        <w:t>Podrá recurrirse a las disposiciones de los artículos XXII y XXIII del GATT de 1994, desarrolladas y aplicadas en virtud del Entendimiento sobre Solución de Diferencias, con respecto a las medidas que afecten a su observancia adoptadas por los gobiernos o autoridades regionales o locales dentro del territorio de un Miembro. Cuando el Órgano de Solución de Diferencias haya resuelto que no se ha respetado una disposición del GATT de 1994, el Miembro responsable deberá tomar las medidas razonables que estén a su alcance para lograr su observancia. En los casos en que no haya sido posible lograrla, serán aplicables las disposiciones relativas a la compensación y a la suspensión de concesiones o de otras obligaciones.</w:t>
      </w:r>
    </w:p>
    <w:p w14:paraId="1459B77B" w14:textId="0FFF8463" w:rsidR="00850889" w:rsidRPr="00C93CD7" w:rsidRDefault="00C93CD7" w:rsidP="00C93CD7">
      <w:r w:rsidRPr="000E0D7F">
        <w:t>15.</w:t>
      </w:r>
      <w:r w:rsidRPr="000E0D7F">
        <w:tab/>
        <w:t>Cada Miembro se compromete a examinar con comprensión las representaciones que le formule otro Miembro con respecto a medidas adoptadas dentro de su territorio que afecten al funcionamiento del GATT de 1994 y a brindar oportunidades adecuadas para la celebración de consultas sobre dichas representaciones.</w:t>
      </w:r>
    </w:p>
    <w:sectPr w:rsidR="00850889" w:rsidRPr="00C93CD7"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43C08"/>
    <w:rsid w:val="005B04B9"/>
    <w:rsid w:val="005B68C7"/>
    <w:rsid w:val="005B7054"/>
    <w:rsid w:val="005D0152"/>
    <w:rsid w:val="005D5981"/>
    <w:rsid w:val="005F30CB"/>
    <w:rsid w:val="00612644"/>
    <w:rsid w:val="00674CCD"/>
    <w:rsid w:val="006A18DC"/>
    <w:rsid w:val="006B24D1"/>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93CD7"/>
    <w:rsid w:val="00CC5DCA"/>
    <w:rsid w:val="00CD7D97"/>
    <w:rsid w:val="00CE3EE6"/>
    <w:rsid w:val="00CE4BA1"/>
    <w:rsid w:val="00D000C7"/>
    <w:rsid w:val="00D52A9D"/>
    <w:rsid w:val="00D55AAD"/>
    <w:rsid w:val="00D747AE"/>
    <w:rsid w:val="00D9226C"/>
    <w:rsid w:val="00DA07CB"/>
    <w:rsid w:val="00DA20BD"/>
    <w:rsid w:val="00DE50DB"/>
    <w:rsid w:val="00DF6AE1"/>
    <w:rsid w:val="00E150A2"/>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CD7"/>
    <w:pPr>
      <w:spacing w:after="0" w:line="240" w:lineRule="auto"/>
      <w:jc w:val="both"/>
    </w:pPr>
    <w:rPr>
      <w:rFonts w:ascii="Verdana" w:hAnsi="Verdana"/>
      <w:sz w:val="18"/>
      <w:lang w:val="es-ES"/>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1534</Words>
  <Characters>8746</Characters>
  <Application>Microsoft Office Word</Application>
  <DocSecurity>0</DocSecurity>
  <Lines>72</Lines>
  <Paragraphs>20</Paragraphs>
  <ScaleCrop>false</ScaleCrop>
  <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2022-02-08T21:59:00Z</dcterms:created>
  <dcterms:modified xsi:type="dcterms:W3CDTF">2022-02-08T21:59:00Z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