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E3975" w14:textId="77777777" w:rsidR="00BE52D9" w:rsidRDefault="00BE52D9" w:rsidP="00BE52D9"/>
    <w:p w14:paraId="741F1F0F" w14:textId="77777777" w:rsidR="00BE52D9" w:rsidRDefault="00BE52D9" w:rsidP="00BE52D9"/>
    <w:p w14:paraId="68F76F51" w14:textId="77777777" w:rsidR="00BE52D9" w:rsidRDefault="00BE52D9" w:rsidP="00BE52D9"/>
    <w:p w14:paraId="777673C7" w14:textId="77777777" w:rsidR="00BE52D9" w:rsidRDefault="00BE52D9" w:rsidP="00BE52D9"/>
    <w:p w14:paraId="16449514" w14:textId="77777777" w:rsidR="00BE52D9" w:rsidRDefault="00BE52D9" w:rsidP="00BE52D9"/>
    <w:p w14:paraId="6017D670" w14:textId="77777777" w:rsidR="00BE52D9" w:rsidRDefault="00BE52D9" w:rsidP="00BE52D9"/>
    <w:p w14:paraId="0D8A6D0B" w14:textId="77777777" w:rsidR="00BE52D9" w:rsidRDefault="00BE52D9" w:rsidP="00BE52D9"/>
    <w:p w14:paraId="1285F71F" w14:textId="77777777" w:rsidR="00BE52D9" w:rsidRDefault="00BE52D9" w:rsidP="00BE52D9"/>
    <w:p w14:paraId="3866159D" w14:textId="77777777" w:rsidR="00BE52D9" w:rsidRDefault="00BE52D9" w:rsidP="00BE52D9"/>
    <w:p w14:paraId="3F57E819" w14:textId="77777777" w:rsidR="00BE52D9" w:rsidRDefault="00BE52D9" w:rsidP="00BE52D9"/>
    <w:p w14:paraId="2A6FEC89" w14:textId="77777777" w:rsidR="00BE52D9" w:rsidRDefault="00BE52D9" w:rsidP="00BE52D9"/>
    <w:p w14:paraId="22D21B5D" w14:textId="77777777" w:rsidR="00BE52D9" w:rsidRDefault="00BE52D9" w:rsidP="00BE52D9"/>
    <w:p w14:paraId="71707F39" w14:textId="77777777" w:rsidR="00BE52D9" w:rsidRDefault="00BE52D9" w:rsidP="00BE52D9"/>
    <w:p w14:paraId="03CD8FA4" w14:textId="77777777" w:rsidR="00BE52D9" w:rsidRDefault="00BE52D9" w:rsidP="00BE52D9"/>
    <w:p w14:paraId="000C49A5" w14:textId="77777777" w:rsidR="00BE52D9" w:rsidRDefault="00BE52D9" w:rsidP="00BE52D9"/>
    <w:p w14:paraId="7271E1DB" w14:textId="77777777" w:rsidR="00BE52D9" w:rsidRDefault="00BE52D9" w:rsidP="00BE52D9"/>
    <w:p w14:paraId="15F28121" w14:textId="77777777" w:rsidR="00BE52D9" w:rsidRDefault="00BE52D9" w:rsidP="00BE52D9"/>
    <w:p w14:paraId="135085C4" w14:textId="77777777" w:rsidR="00BE52D9" w:rsidRDefault="00BE52D9" w:rsidP="00BE52D9"/>
    <w:p w14:paraId="13285B37" w14:textId="77777777" w:rsidR="00BE52D9" w:rsidRDefault="00BE52D9" w:rsidP="00BE52D9"/>
    <w:p w14:paraId="0E400A80" w14:textId="77777777" w:rsidR="00BE52D9" w:rsidRPr="000E0D7F" w:rsidRDefault="00BE52D9" w:rsidP="00BE52D9"/>
    <w:p w14:paraId="49DF88D9" w14:textId="77777777" w:rsidR="00BE52D9" w:rsidRPr="000E0D7F" w:rsidRDefault="00BE52D9" w:rsidP="00BE52D9"/>
    <w:p w14:paraId="1F91B717" w14:textId="77777777" w:rsidR="00BE52D9" w:rsidRPr="000E0D7F" w:rsidRDefault="00BE52D9" w:rsidP="00BE52D9">
      <w:pPr>
        <w:spacing w:after="240"/>
        <w:jc w:val="center"/>
        <w:rPr>
          <w:b/>
          <w:bCs/>
        </w:rPr>
      </w:pPr>
      <w:r w:rsidRPr="000E0D7F">
        <w:rPr>
          <w:b/>
          <w:bCs/>
        </w:rPr>
        <w:t xml:space="preserve">ENTENDIMIENTO RELATIVO A LA INTERPRETACIÓN DEL </w:t>
      </w:r>
      <w:r w:rsidRPr="000E0D7F">
        <w:rPr>
          <w:b/>
          <w:bCs/>
        </w:rPr>
        <w:br/>
        <w:t xml:space="preserve">ARTÍCULO XXVIII DEL ACUERDO GENERAL SOBRE </w:t>
      </w:r>
      <w:r w:rsidRPr="000E0D7F">
        <w:rPr>
          <w:b/>
          <w:bCs/>
        </w:rPr>
        <w:br/>
        <w:t>ARANCELES ADUANEROS Y COMERCIO DE 1994</w:t>
      </w:r>
    </w:p>
    <w:p w14:paraId="3429A10F" w14:textId="77777777" w:rsidR="00BE52D9" w:rsidRPr="000E0D7F" w:rsidRDefault="00BE52D9" w:rsidP="00BE52D9"/>
    <w:p w14:paraId="3C147CAA" w14:textId="77777777" w:rsidR="00BE52D9" w:rsidRPr="000E0D7F" w:rsidRDefault="00BE52D9" w:rsidP="00BE52D9">
      <w:pPr>
        <w:spacing w:after="240"/>
        <w:jc w:val="left"/>
        <w:rPr>
          <w:szCs w:val="18"/>
        </w:rPr>
      </w:pPr>
      <w:r w:rsidRPr="000E0D7F">
        <w:rPr>
          <w:szCs w:val="18"/>
        </w:rPr>
        <w:br w:type="page"/>
      </w:r>
    </w:p>
    <w:p w14:paraId="78FF52C8" w14:textId="77777777" w:rsidR="00BE52D9" w:rsidRPr="000E0D7F" w:rsidRDefault="00BE52D9" w:rsidP="00BE52D9">
      <w:pPr>
        <w:spacing w:after="240"/>
        <w:jc w:val="center"/>
        <w:rPr>
          <w:b/>
          <w:bCs/>
        </w:rPr>
      </w:pPr>
      <w:r w:rsidRPr="000E0D7F">
        <w:rPr>
          <w:b/>
          <w:bCs/>
        </w:rPr>
        <w:lastRenderedPageBreak/>
        <w:t xml:space="preserve">ENTENDIMIENTO RELATIVO A LA INTERPRETACIÓN DEL </w:t>
      </w:r>
      <w:r w:rsidRPr="000E0D7F">
        <w:rPr>
          <w:b/>
          <w:bCs/>
        </w:rPr>
        <w:br/>
        <w:t xml:space="preserve">ARTÍCULO XXVIII DEL ACUERDO GENERAL SOBRE </w:t>
      </w:r>
      <w:r w:rsidRPr="000E0D7F">
        <w:rPr>
          <w:b/>
          <w:bCs/>
        </w:rPr>
        <w:br/>
        <w:t>ARANCELES ADUANEROS Y COMERCIO DE 1994</w:t>
      </w:r>
    </w:p>
    <w:p w14:paraId="7617B85E" w14:textId="77777777" w:rsidR="00BE52D9" w:rsidRPr="000E0D7F" w:rsidRDefault="00BE52D9" w:rsidP="00BE52D9">
      <w:pPr>
        <w:spacing w:after="240"/>
      </w:pPr>
      <w:r w:rsidRPr="000E0D7F">
        <w:rPr>
          <w:i/>
        </w:rPr>
        <w:t xml:space="preserve">Los Miembros convienen </w:t>
      </w:r>
      <w:r w:rsidRPr="000E0D7F">
        <w:t>en lo siguiente:</w:t>
      </w:r>
    </w:p>
    <w:p w14:paraId="0708D5C7" w14:textId="77777777" w:rsidR="00BE52D9" w:rsidRPr="000E0D7F" w:rsidRDefault="00BE52D9" w:rsidP="00BE52D9">
      <w:pPr>
        <w:spacing w:after="240"/>
      </w:pPr>
      <w:r w:rsidRPr="000E0D7F">
        <w:t>1.</w:t>
      </w:r>
      <w:r w:rsidRPr="000E0D7F">
        <w:tab/>
        <w:t>A los efectos de la modificación o retirada de una concesión, se reconocerá un interés como abastecedor principal al Miembro que tenga la proporción más alta de exportaciones afectadas por la concesión (es decir, de exportaciones del producto al mercado del Miembro que modifica o retira la concesión) en relación con sus exportaciones totales, si no posee ya un derecho de primer negociador o un interés como abastecedor principal a tenor de lo dispuesto en el párrafo 1 del artículo XXVIII. Sin embargo, se acuerda que el Consejo del Comercio de Mercancías examinará el presente párrafo cinco años después de la fecha de entrada en vigor del Acuerdo sobre la OMC, a</w:t>
      </w:r>
      <w:r>
        <w:t> </w:t>
      </w:r>
      <w:r w:rsidRPr="000E0D7F">
        <w:t>fin de decidir si este criterio ha funcionado satisfactoriamente para garantizar una redistribución de los derechos de negociación en favor de los Miembros exportadores pequeños y medianos. De no ser así se considerará la posibilidad de introducir mejoras, incluida, en función de la disponibilidad de datos adecuados, la adopción de un criterio basado en la relación entre las exportaciones afectadas por la concesión y las exportaciones totales del producto de que se trate.</w:t>
      </w:r>
    </w:p>
    <w:p w14:paraId="78FDEEDC" w14:textId="77777777" w:rsidR="00BE52D9" w:rsidRPr="000E0D7F" w:rsidRDefault="00BE52D9" w:rsidP="00BE52D9">
      <w:pPr>
        <w:spacing w:after="240"/>
      </w:pPr>
      <w:r w:rsidRPr="000E0D7F">
        <w:t>2.</w:t>
      </w:r>
      <w:r w:rsidRPr="000E0D7F">
        <w:tab/>
        <w:t>Cuando un Miembro considere que tiene interés como abastecedor principal a tenor del párrafo</w:t>
      </w:r>
      <w:r>
        <w:t> </w:t>
      </w:r>
      <w:r w:rsidRPr="000E0D7F">
        <w:t xml:space="preserve">1 comunicará por escrito su pretensión, apoyada por pruebas, al Miembro que se proponga modificar o retirar una concesión, e informará al mismo tiempo a la Secretaría. </w:t>
      </w:r>
      <w:proofErr w:type="gramStart"/>
      <w:r w:rsidRPr="000E0D7F">
        <w:t>Será de aplicación</w:t>
      </w:r>
      <w:proofErr w:type="gramEnd"/>
      <w:r w:rsidRPr="000E0D7F">
        <w:t xml:space="preserve"> en estos casos el párrafo 4 del "Procedimiento para las negociaciones en virtud del artículo XXVIII" adoptado el 10 de noviembre de 1980 (IBDD 27S/27-28).</w:t>
      </w:r>
    </w:p>
    <w:p w14:paraId="40C15745" w14:textId="77777777" w:rsidR="00BE52D9" w:rsidRPr="000E0D7F" w:rsidRDefault="00BE52D9" w:rsidP="00BE52D9">
      <w:pPr>
        <w:spacing w:after="240"/>
      </w:pPr>
      <w:r w:rsidRPr="000E0D7F">
        <w:t>3.</w:t>
      </w:r>
      <w:r w:rsidRPr="000E0D7F">
        <w:tab/>
        <w:t xml:space="preserve">Para determinar qué Miembros tienen interés como abastecedor principal (ya sea en virtud del párrafo 1 </w:t>
      </w:r>
      <w:r w:rsidRPr="000E0D7F">
        <w:rPr>
          <w:i/>
        </w:rPr>
        <w:t xml:space="preserve">supra </w:t>
      </w:r>
      <w:r w:rsidRPr="000E0D7F">
        <w:t>o del párrafo 1 del artículo XXVIII) y los que tienen un interés sustancial, sólo se tomará en consideración el comercio del producto afectado realizado sobre una base NMF. No obstante, se tendrá también en cuenta el comercio del producto afectado realizado en el marco de preferencias no contractuales si, en el momento de la negociación para la modificación o retirada de la concesión o al concluir dicha negociación, el comercio en cuestión hubiera dejado de beneficiarse de ese trato preferencial, pasando a convertirse en comercio NMF.</w:t>
      </w:r>
    </w:p>
    <w:p w14:paraId="543DDAE4" w14:textId="77777777" w:rsidR="00BE52D9" w:rsidRPr="000E0D7F" w:rsidRDefault="00BE52D9" w:rsidP="00BE52D9">
      <w:pPr>
        <w:spacing w:after="240"/>
      </w:pPr>
      <w:r w:rsidRPr="000E0D7F">
        <w:t>4.</w:t>
      </w:r>
      <w:r w:rsidRPr="000E0D7F">
        <w:tab/>
        <w:t>Cuando se modifique o retire una concesión arancelaria sobre un nuevo producto (es decir, un producto respecto del cual no se disponga de estadísticas del comercio correspondientes a un período de tres años) se considerará que tiene un derecho de primer negociador de la concesión de que se trate el Miembro titular de derechos de primer negociador sobre la línea arancelaria en la que el producto esté clasificado o lo haya estado anteriormente. Para determinar el interés como abastecedor principal y el interés sustancial y calcular la compensación se tomarán en cuenta, entre otras cosas, la capacidad de producción y las inversiones en el Miembro exportador respecto del producto afectado y las estimaciones del crecimiento de las exportaciones, así como las previsiones de la demanda del producto en el Miembro importador. A los fines del presente párrafo se entenderá que el concepto de "nuevo producto" abarca las partidas arancelarias resultantes del desglose de una línea arancelaria ya existente.</w:t>
      </w:r>
    </w:p>
    <w:p w14:paraId="64033B16" w14:textId="77777777" w:rsidR="00BE52D9" w:rsidRPr="00870A22" w:rsidRDefault="00BE52D9" w:rsidP="00BE52D9">
      <w:pPr>
        <w:spacing w:after="240"/>
      </w:pPr>
      <w:r w:rsidRPr="000E0D7F">
        <w:t>5.</w:t>
      </w:r>
      <w:r w:rsidRPr="000E0D7F">
        <w:tab/>
        <w:t xml:space="preserve">Cuando un Miembro considere que tiene interés como abastecedor principal o un interés sustancial a tenor del párrafo 4, comunicará por escrito su pretensión, apoyada por pruebas, al Miembro que se proponga modificar o retirar una concesión, e informará al mismo tiempo a la Secretaría. </w:t>
      </w:r>
      <w:proofErr w:type="gramStart"/>
      <w:r w:rsidRPr="000E0D7F">
        <w:t>Será de aplicación</w:t>
      </w:r>
      <w:proofErr w:type="gramEnd"/>
      <w:r w:rsidRPr="000E0D7F">
        <w:t xml:space="preserve"> en esos casos el párrafo 4 del "Procedimiento para las negociaciones en virtud del artículo XXVIII" mencionado </w:t>
      </w:r>
      <w:r w:rsidRPr="000E0D7F">
        <w:rPr>
          <w:i/>
        </w:rPr>
        <w:t>supra</w:t>
      </w:r>
      <w:r w:rsidRPr="00870A22">
        <w:t>.</w:t>
      </w:r>
    </w:p>
    <w:p w14:paraId="6AFEA829" w14:textId="77777777" w:rsidR="00BE52D9" w:rsidRPr="000E0D7F" w:rsidRDefault="00BE52D9" w:rsidP="00BE52D9">
      <w:pPr>
        <w:spacing w:after="240"/>
      </w:pPr>
      <w:r w:rsidRPr="000E0D7F">
        <w:t>6.</w:t>
      </w:r>
      <w:r w:rsidRPr="000E0D7F">
        <w:tab/>
        <w:t>Cuando se sustituya una concesión arancelaria sin limitación por un contingente arancelario, la cuantía de la compensación que se brinde deberá ser superior a la cuantía del comercio efectivamente afectado por la modificación de la concesión. La base para el cálculo de la compensación deberá ser la cuantía en que las perspectivas del comercio futuro excedan del nivel del contingente. Queda entendido que el cálculo de las perspectivas del comercio futuro deberá basarse en la mayor de las siguientes cantidades:</w:t>
      </w:r>
    </w:p>
    <w:p w14:paraId="46861FAF" w14:textId="77777777" w:rsidR="00BE52D9" w:rsidRPr="000E0D7F" w:rsidRDefault="00BE52D9" w:rsidP="00BE52D9">
      <w:pPr>
        <w:spacing w:after="240"/>
        <w:ind w:left="1134" w:hanging="567"/>
      </w:pPr>
      <w:r w:rsidRPr="000E0D7F">
        <w:t>a)</w:t>
      </w:r>
      <w:r w:rsidRPr="000E0D7F">
        <w:tab/>
        <w:t>la media del comercio anual del trienio representativo más reciente, incrementada en la tasa media de crecimiento anual de las importaciones en ese mismo período, o en el 10 por ciento, si este último porcentaje fuera superior a dicha tasa; o</w:t>
      </w:r>
    </w:p>
    <w:p w14:paraId="227A60E8" w14:textId="77777777" w:rsidR="00BE52D9" w:rsidRPr="000E0D7F" w:rsidRDefault="00BE52D9" w:rsidP="00BE52D9">
      <w:pPr>
        <w:spacing w:after="240"/>
        <w:ind w:left="1134" w:hanging="567"/>
      </w:pPr>
      <w:r w:rsidRPr="000E0D7F">
        <w:lastRenderedPageBreak/>
        <w:t>b)</w:t>
      </w:r>
      <w:r w:rsidRPr="000E0D7F">
        <w:tab/>
        <w:t>el comercio del año más reciente incrementado en el 10 por ciento.</w:t>
      </w:r>
    </w:p>
    <w:p w14:paraId="4BE46013" w14:textId="77777777" w:rsidR="00BE52D9" w:rsidRPr="000E0D7F" w:rsidRDefault="00BE52D9" w:rsidP="00BE52D9">
      <w:pPr>
        <w:spacing w:after="240"/>
      </w:pPr>
      <w:r w:rsidRPr="000E0D7F">
        <w:t>La obligación de compensación que incumba a un Miembro no deberá ser en ningún caso superior a la que correspondería si se retirase por entero la concesión.</w:t>
      </w:r>
    </w:p>
    <w:p w14:paraId="1459B77B" w14:textId="134690CC" w:rsidR="00850889" w:rsidRPr="00BE52D9" w:rsidRDefault="00BE52D9" w:rsidP="00BE52D9">
      <w:r w:rsidRPr="000E0D7F">
        <w:t>7.</w:t>
      </w:r>
      <w:r w:rsidRPr="000E0D7F">
        <w:tab/>
        <w:t xml:space="preserve">Cuando se modifique o retire una concesión, se otorgará a todo Miembro que tenga interés como abastecedor principal en ella, ya sea en virtud del párrafo 1 </w:t>
      </w:r>
      <w:r w:rsidRPr="000E0D7F">
        <w:rPr>
          <w:i/>
        </w:rPr>
        <w:t xml:space="preserve">supra </w:t>
      </w:r>
      <w:r w:rsidRPr="000E0D7F">
        <w:t>o del párrafo 1 del artículo XXVIII, un derecho de primer negociador respecto de las concesiones compensatorias, a menos que los Miembros interesados acuerden otra forma de compensación.</w:t>
      </w:r>
    </w:p>
    <w:sectPr w:rsidR="00850889" w:rsidRPr="00BE52D9"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43C08"/>
    <w:rsid w:val="005B04B9"/>
    <w:rsid w:val="005B68C7"/>
    <w:rsid w:val="005B7054"/>
    <w:rsid w:val="005D0152"/>
    <w:rsid w:val="005D5981"/>
    <w:rsid w:val="005F30CB"/>
    <w:rsid w:val="00612644"/>
    <w:rsid w:val="00674CCD"/>
    <w:rsid w:val="006A18DC"/>
    <w:rsid w:val="006B24D1"/>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2D9"/>
    <w:rsid w:val="00BE5468"/>
    <w:rsid w:val="00C11EAC"/>
    <w:rsid w:val="00C305D7"/>
    <w:rsid w:val="00C30F2A"/>
    <w:rsid w:val="00C43456"/>
    <w:rsid w:val="00C65C0C"/>
    <w:rsid w:val="00C808FC"/>
    <w:rsid w:val="00C93CD7"/>
    <w:rsid w:val="00CC5DCA"/>
    <w:rsid w:val="00CD7D97"/>
    <w:rsid w:val="00CE3EE6"/>
    <w:rsid w:val="00CE4BA1"/>
    <w:rsid w:val="00D000C7"/>
    <w:rsid w:val="00D52A9D"/>
    <w:rsid w:val="00D55AAD"/>
    <w:rsid w:val="00D747AE"/>
    <w:rsid w:val="00D9226C"/>
    <w:rsid w:val="00DA07CB"/>
    <w:rsid w:val="00DA20BD"/>
    <w:rsid w:val="00DE50DB"/>
    <w:rsid w:val="00DF6AE1"/>
    <w:rsid w:val="00E150A2"/>
    <w:rsid w:val="00E46FD5"/>
    <w:rsid w:val="00E544BB"/>
    <w:rsid w:val="00E56545"/>
    <w:rsid w:val="00E85004"/>
    <w:rsid w:val="00E90851"/>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2D9"/>
    <w:pPr>
      <w:spacing w:after="0" w:line="240" w:lineRule="auto"/>
      <w:jc w:val="both"/>
    </w:pPr>
    <w:rPr>
      <w:rFonts w:ascii="Verdana" w:hAnsi="Verdana"/>
      <w:sz w:val="18"/>
      <w:lang w:val="es-ES"/>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797</Words>
  <Characters>4546</Characters>
  <Application>Microsoft Office Word</Application>
  <DocSecurity>0</DocSecurity>
  <Lines>37</Lines>
  <Paragraphs>10</Paragraphs>
  <ScaleCrop>false</ScaleCrop>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2022-02-08T22:04:00Z</dcterms:created>
  <dcterms:modified xsi:type="dcterms:W3CDTF">2022-02-08T22:04:00Z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