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0304" w14:textId="77777777" w:rsidR="00E150A2" w:rsidRPr="000E0D7F" w:rsidRDefault="00E150A2" w:rsidP="00E150A2"/>
    <w:p w14:paraId="7A149514" w14:textId="77777777" w:rsidR="00E150A2" w:rsidRDefault="00E150A2" w:rsidP="00E150A2"/>
    <w:p w14:paraId="02A81E4D" w14:textId="77777777" w:rsidR="00E150A2" w:rsidRDefault="00E150A2" w:rsidP="00E150A2"/>
    <w:p w14:paraId="069F112B" w14:textId="77777777" w:rsidR="00E150A2" w:rsidRDefault="00E150A2" w:rsidP="00E150A2"/>
    <w:p w14:paraId="1F626402" w14:textId="77777777" w:rsidR="00E150A2" w:rsidRDefault="00E150A2" w:rsidP="00E150A2"/>
    <w:p w14:paraId="1CA372D7" w14:textId="77777777" w:rsidR="00E150A2" w:rsidRDefault="00E150A2" w:rsidP="00E150A2"/>
    <w:p w14:paraId="45796FB2" w14:textId="77777777" w:rsidR="00E150A2" w:rsidRDefault="00E150A2" w:rsidP="00E150A2"/>
    <w:p w14:paraId="5EBEC9BB" w14:textId="77777777" w:rsidR="00E150A2" w:rsidRDefault="00E150A2" w:rsidP="00E150A2"/>
    <w:p w14:paraId="584DE6CB" w14:textId="77777777" w:rsidR="00E150A2" w:rsidRDefault="00E150A2" w:rsidP="00E150A2"/>
    <w:p w14:paraId="3F9BEE1C" w14:textId="77777777" w:rsidR="00E150A2" w:rsidRDefault="00E150A2" w:rsidP="00E150A2"/>
    <w:p w14:paraId="5C0A8562" w14:textId="77777777" w:rsidR="00E150A2" w:rsidRDefault="00E150A2" w:rsidP="00E150A2"/>
    <w:p w14:paraId="1AABD8F2" w14:textId="77777777" w:rsidR="00E150A2" w:rsidRDefault="00E150A2" w:rsidP="00E150A2"/>
    <w:p w14:paraId="4DAE754F" w14:textId="77777777" w:rsidR="00E150A2" w:rsidRDefault="00E150A2" w:rsidP="00E150A2"/>
    <w:p w14:paraId="38D736C9" w14:textId="77777777" w:rsidR="00E150A2" w:rsidRDefault="00E150A2" w:rsidP="00E150A2"/>
    <w:p w14:paraId="335D83C1" w14:textId="77777777" w:rsidR="00E150A2" w:rsidRDefault="00E150A2" w:rsidP="00E150A2"/>
    <w:p w14:paraId="25944893" w14:textId="77777777" w:rsidR="00E150A2" w:rsidRDefault="00E150A2" w:rsidP="00E150A2"/>
    <w:p w14:paraId="44B0F17D" w14:textId="77777777" w:rsidR="00E150A2" w:rsidRDefault="00E150A2" w:rsidP="00E150A2"/>
    <w:p w14:paraId="532D2A31" w14:textId="77777777" w:rsidR="00E150A2" w:rsidRDefault="00E150A2" w:rsidP="00E150A2"/>
    <w:p w14:paraId="06B87538" w14:textId="77777777" w:rsidR="00E150A2" w:rsidRDefault="00E150A2" w:rsidP="00E150A2"/>
    <w:p w14:paraId="6D758988" w14:textId="77777777" w:rsidR="00E150A2" w:rsidRDefault="00E150A2" w:rsidP="00E150A2"/>
    <w:p w14:paraId="512A1C58" w14:textId="77777777" w:rsidR="00E150A2" w:rsidRPr="000E0D7F" w:rsidRDefault="00E150A2" w:rsidP="00E150A2"/>
    <w:p w14:paraId="578E3236" w14:textId="77777777" w:rsidR="00E150A2" w:rsidRPr="000E0D7F" w:rsidRDefault="00E150A2" w:rsidP="00E150A2">
      <w:pPr>
        <w:spacing w:after="240"/>
        <w:jc w:val="center"/>
        <w:rPr>
          <w:b/>
          <w:bCs/>
        </w:rPr>
      </w:pPr>
      <w:r w:rsidRPr="000E0D7F">
        <w:rPr>
          <w:b/>
          <w:bCs/>
        </w:rPr>
        <w:t xml:space="preserve">ACUERDO GENERAL SOBRE ARANCELES </w:t>
      </w:r>
      <w:r>
        <w:rPr>
          <w:b/>
          <w:bCs/>
        </w:rPr>
        <w:br/>
      </w:r>
      <w:r w:rsidRPr="000E0D7F">
        <w:rPr>
          <w:b/>
          <w:bCs/>
        </w:rPr>
        <w:t>ADUANEROS Y COMERCIO DE 1994</w:t>
      </w:r>
    </w:p>
    <w:p w14:paraId="05291E15" w14:textId="77777777" w:rsidR="00E150A2" w:rsidRPr="000E0D7F" w:rsidRDefault="00E150A2" w:rsidP="00E150A2"/>
    <w:p w14:paraId="1573C4A7" w14:textId="77777777" w:rsidR="00E150A2" w:rsidRPr="000E0D7F" w:rsidRDefault="00E150A2" w:rsidP="00E150A2">
      <w:pPr>
        <w:spacing w:after="240"/>
        <w:jc w:val="left"/>
        <w:rPr>
          <w:b/>
          <w:bCs/>
        </w:rPr>
      </w:pPr>
      <w:r w:rsidRPr="000E0D7F">
        <w:rPr>
          <w:b/>
          <w:bCs/>
        </w:rPr>
        <w:br w:type="page"/>
      </w:r>
    </w:p>
    <w:p w14:paraId="154BF6EA" w14:textId="77777777" w:rsidR="00E150A2" w:rsidRPr="000E0D7F" w:rsidRDefault="00E150A2" w:rsidP="00E150A2">
      <w:pPr>
        <w:spacing w:after="240"/>
        <w:jc w:val="center"/>
        <w:rPr>
          <w:b/>
          <w:bCs/>
        </w:rPr>
      </w:pPr>
      <w:r w:rsidRPr="000E0D7F">
        <w:rPr>
          <w:b/>
          <w:bCs/>
        </w:rPr>
        <w:lastRenderedPageBreak/>
        <w:t xml:space="preserve">ACUERDO GENERAL SOBRE ARANCELES </w:t>
      </w:r>
      <w:r w:rsidRPr="000E0D7F">
        <w:rPr>
          <w:b/>
          <w:bCs/>
        </w:rPr>
        <w:br/>
        <w:t>ADUANEROS Y COMERCIO DE 1994</w:t>
      </w:r>
    </w:p>
    <w:p w14:paraId="1E4C23FC" w14:textId="77777777" w:rsidR="00E150A2" w:rsidRPr="000E0D7F" w:rsidRDefault="00E150A2" w:rsidP="00E150A2">
      <w:pPr>
        <w:spacing w:after="240"/>
      </w:pPr>
      <w:r w:rsidRPr="000E0D7F">
        <w:t>1.</w:t>
      </w:r>
      <w:r w:rsidRPr="000E0D7F">
        <w:tab/>
        <w:t>El Acuerdo General sobre Aranceles Aduaneros y Comercio de 1994 ("GATT de 1994") comprenderá:</w:t>
      </w:r>
    </w:p>
    <w:p w14:paraId="6A0D3E21" w14:textId="77777777" w:rsidR="00E150A2" w:rsidRPr="000E0D7F" w:rsidRDefault="00E150A2" w:rsidP="00E150A2">
      <w:pPr>
        <w:spacing w:after="240"/>
        <w:ind w:firstLine="567"/>
      </w:pPr>
      <w:r w:rsidRPr="000E0D7F">
        <w:t>a)</w:t>
      </w:r>
      <w:r w:rsidRPr="000E0D7F">
        <w:tab/>
        <w:t>las disposiciones del Acuerdo General sobre Aranceles Aduaneros y Comercio, de fecha 30 de octubre de 1947, anexo al Acta Final adoptada al término del segundo período de sesiones de la Comisión Preparatoria de la Conferencia de las Naciones Unidas sobre Comercio y Empleo (excluido el Protocolo de Aplicación Provisional), rectificadas, enmendadas o modificadas por los términos de los instrumentos jurídicos que hayan entrado en vigor con anterioridad a la fecha de entrada en vigor del Acuerdo sobre la OMC;</w:t>
      </w:r>
    </w:p>
    <w:p w14:paraId="1915720D" w14:textId="77777777" w:rsidR="00E150A2" w:rsidRPr="000E0D7F" w:rsidRDefault="00E150A2" w:rsidP="00E150A2">
      <w:pPr>
        <w:spacing w:after="240"/>
        <w:ind w:firstLine="567"/>
      </w:pPr>
      <w:r w:rsidRPr="000E0D7F">
        <w:t>b)</w:t>
      </w:r>
      <w:r w:rsidRPr="000E0D7F">
        <w:tab/>
        <w:t>las disposiciones de los instrumentos jurídicos indicados a continuación que hayan entrado en vigor en el marco del GATT de 1947 con anterioridad a la fecha de entrada en vigor del Acuerdo sobre la OMC:</w:t>
      </w:r>
    </w:p>
    <w:p w14:paraId="66C50C13" w14:textId="77777777" w:rsidR="00E150A2" w:rsidRPr="000E0D7F" w:rsidRDefault="00E150A2" w:rsidP="00E150A2">
      <w:pPr>
        <w:spacing w:after="240"/>
        <w:ind w:left="1701" w:hanging="567"/>
      </w:pPr>
      <w:r w:rsidRPr="000E0D7F">
        <w:t>i)</w:t>
      </w:r>
      <w:r w:rsidRPr="000E0D7F">
        <w:tab/>
        <w:t>protocolos y certificaciones relativos a las concesiones arancelarias;</w:t>
      </w:r>
    </w:p>
    <w:p w14:paraId="306D2D50" w14:textId="77777777" w:rsidR="00E150A2" w:rsidRPr="000E0D7F" w:rsidRDefault="00E150A2" w:rsidP="00E150A2">
      <w:pPr>
        <w:spacing w:after="240"/>
        <w:ind w:left="1701" w:hanging="567"/>
        <w:rPr>
          <w:rFonts w:eastAsia="Times New Roman" w:cs="Arial"/>
          <w:szCs w:val="18"/>
        </w:rPr>
      </w:pPr>
      <w:proofErr w:type="spellStart"/>
      <w:r w:rsidRPr="000E0D7F">
        <w:t>ii</w:t>
      </w:r>
      <w:proofErr w:type="spellEnd"/>
      <w:r w:rsidRPr="000E0D7F">
        <w:t>)</w:t>
      </w:r>
      <w:r w:rsidRPr="000E0D7F">
        <w:tab/>
        <w:t>protocolos</w:t>
      </w:r>
      <w:r w:rsidRPr="000E0D7F">
        <w:rPr>
          <w:rFonts w:eastAsia="Times New Roman" w:cs="Arial"/>
          <w:color w:val="131413"/>
          <w:szCs w:val="18"/>
        </w:rPr>
        <w:t xml:space="preserve"> de adhesión (excluidas las disposiciones: a) relativas a la aplicación provisional y a la cesación de la aplicación provisional; y b) por las que se establece que la Parte II del GATT de 1947 se aplicará provisionalmente en toda la medida compatible con la legislación existente en la fecha del Protocolo);</w:t>
      </w:r>
    </w:p>
    <w:p w14:paraId="67702BEE" w14:textId="77777777" w:rsidR="00E150A2" w:rsidRPr="000E0D7F" w:rsidRDefault="00E150A2" w:rsidP="00E150A2">
      <w:pPr>
        <w:spacing w:after="240"/>
        <w:ind w:left="1701" w:hanging="567"/>
        <w:rPr>
          <w:rFonts w:eastAsia="Times New Roman" w:cs="Arial"/>
          <w:szCs w:val="18"/>
        </w:rPr>
      </w:pPr>
      <w:proofErr w:type="spellStart"/>
      <w:r w:rsidRPr="000E0D7F">
        <w:t>iii</w:t>
      </w:r>
      <w:proofErr w:type="spellEnd"/>
      <w:r w:rsidRPr="000E0D7F">
        <w:t>)</w:t>
      </w:r>
      <w:r w:rsidRPr="000E0D7F">
        <w:tab/>
        <w:t>decisiones</w:t>
      </w:r>
      <w:r w:rsidRPr="000E0D7F">
        <w:rPr>
          <w:rFonts w:eastAsia="Times New Roman" w:cs="Arial"/>
          <w:color w:val="131413"/>
          <w:szCs w:val="18"/>
        </w:rPr>
        <w:t xml:space="preserve"> sobre exenciones otorgadas al amparo del artículo XXV del GATT de 1947 aún vigentes en la fecha de entrada en vigor del Acuerdo sobre la OMC</w:t>
      </w:r>
      <w:r w:rsidRPr="000E0D7F">
        <w:rPr>
          <w:rStyle w:val="FootnoteReference"/>
          <w:rFonts w:eastAsia="Times New Roman" w:cs="Arial"/>
          <w:color w:val="131413"/>
          <w:szCs w:val="18"/>
        </w:rPr>
        <w:footnoteReference w:id="1"/>
      </w:r>
      <w:r w:rsidRPr="000E0D7F">
        <w:rPr>
          <w:rFonts w:eastAsia="Times New Roman" w:cs="Arial"/>
          <w:color w:val="131413"/>
          <w:szCs w:val="18"/>
        </w:rPr>
        <w:t>;</w:t>
      </w:r>
    </w:p>
    <w:p w14:paraId="55522971" w14:textId="77777777" w:rsidR="00E150A2" w:rsidRPr="000E0D7F" w:rsidRDefault="00E150A2" w:rsidP="00E150A2">
      <w:pPr>
        <w:spacing w:after="240"/>
        <w:ind w:left="1701" w:hanging="567"/>
        <w:rPr>
          <w:rFonts w:eastAsia="Times New Roman" w:cs="Arial"/>
          <w:szCs w:val="18"/>
        </w:rPr>
      </w:pPr>
      <w:proofErr w:type="spellStart"/>
      <w:r w:rsidRPr="000E0D7F">
        <w:rPr>
          <w:rFonts w:eastAsia="Times New Roman" w:cs="Arial"/>
          <w:color w:val="131413"/>
          <w:szCs w:val="18"/>
        </w:rPr>
        <w:t>iv</w:t>
      </w:r>
      <w:proofErr w:type="spellEnd"/>
      <w:r w:rsidRPr="000E0D7F">
        <w:rPr>
          <w:rFonts w:eastAsia="Times New Roman" w:cs="Arial"/>
          <w:color w:val="131413"/>
          <w:szCs w:val="18"/>
        </w:rPr>
        <w:t>)</w:t>
      </w:r>
      <w:r w:rsidRPr="000E0D7F">
        <w:rPr>
          <w:rFonts w:eastAsia="Times New Roman" w:cs="Arial"/>
          <w:color w:val="131413"/>
          <w:szCs w:val="18"/>
        </w:rPr>
        <w:tab/>
        <w:t xml:space="preserve">las </w:t>
      </w:r>
      <w:r w:rsidRPr="000E0D7F">
        <w:t>demás</w:t>
      </w:r>
      <w:r w:rsidRPr="000E0D7F">
        <w:rPr>
          <w:rFonts w:eastAsia="Times New Roman" w:cs="Arial"/>
          <w:color w:val="131413"/>
          <w:szCs w:val="18"/>
        </w:rPr>
        <w:t xml:space="preserve"> decisiones de las PARTES CONTRATANTES del GATT de 1947;</w:t>
      </w:r>
    </w:p>
    <w:p w14:paraId="4C0CC80A" w14:textId="77777777" w:rsidR="00E150A2" w:rsidRPr="000E0D7F" w:rsidRDefault="00E150A2" w:rsidP="00E150A2">
      <w:pPr>
        <w:spacing w:after="240"/>
        <w:ind w:firstLine="567"/>
        <w:rPr>
          <w:rFonts w:eastAsia="Times New Roman" w:cs="Arial"/>
          <w:szCs w:val="18"/>
        </w:rPr>
      </w:pPr>
      <w:r w:rsidRPr="000E0D7F">
        <w:rPr>
          <w:rFonts w:eastAsia="Times New Roman" w:cs="Arial"/>
          <w:color w:val="131413"/>
          <w:szCs w:val="18"/>
        </w:rPr>
        <w:t>c)</w:t>
      </w:r>
      <w:r w:rsidRPr="000E0D7F">
        <w:rPr>
          <w:rFonts w:eastAsia="Times New Roman" w:cs="Arial"/>
          <w:color w:val="131413"/>
          <w:szCs w:val="18"/>
        </w:rPr>
        <w:tab/>
      </w:r>
      <w:r w:rsidRPr="000E0D7F">
        <w:t>los</w:t>
      </w:r>
      <w:r w:rsidRPr="000E0D7F">
        <w:rPr>
          <w:rFonts w:eastAsia="Times New Roman" w:cs="Arial"/>
          <w:color w:val="131413"/>
          <w:szCs w:val="18"/>
        </w:rPr>
        <w:t xml:space="preserve"> Entendimientos indicados a continuación:</w:t>
      </w:r>
    </w:p>
    <w:p w14:paraId="2163085E" w14:textId="77777777" w:rsidR="00E150A2" w:rsidRPr="000E0D7F" w:rsidRDefault="00E150A2" w:rsidP="00E150A2">
      <w:pPr>
        <w:spacing w:after="240"/>
        <w:ind w:left="1701" w:hanging="567"/>
        <w:rPr>
          <w:rFonts w:eastAsia="Times New Roman" w:cs="Arial"/>
          <w:szCs w:val="18"/>
        </w:rPr>
      </w:pPr>
      <w:r w:rsidRPr="000E0D7F">
        <w:t>i)</w:t>
      </w:r>
      <w:r w:rsidRPr="000E0D7F">
        <w:tab/>
        <w:t>Entendimiento</w:t>
      </w:r>
      <w:r w:rsidRPr="000E0D7F">
        <w:rPr>
          <w:rFonts w:eastAsia="Times New Roman" w:cs="Arial"/>
          <w:color w:val="131413"/>
          <w:szCs w:val="18"/>
        </w:rPr>
        <w:t xml:space="preserve"> relativo a la interpretación del párrafo 1 b) del artículo II del Acuerdo General sobre Aranceles Aduaneros y Comercio de 1994;</w:t>
      </w:r>
    </w:p>
    <w:p w14:paraId="6F44C4BA" w14:textId="77777777" w:rsidR="00E150A2" w:rsidRPr="000E0D7F" w:rsidRDefault="00E150A2" w:rsidP="00E150A2">
      <w:pPr>
        <w:spacing w:after="240"/>
        <w:ind w:left="1701" w:hanging="567"/>
        <w:rPr>
          <w:rFonts w:eastAsia="Times New Roman" w:cs="Arial"/>
          <w:color w:val="131413"/>
          <w:szCs w:val="18"/>
        </w:rPr>
      </w:pPr>
      <w:proofErr w:type="spellStart"/>
      <w:r w:rsidRPr="000E0D7F">
        <w:t>ii</w:t>
      </w:r>
      <w:proofErr w:type="spellEnd"/>
      <w:r w:rsidRPr="000E0D7F">
        <w:t>)</w:t>
      </w:r>
      <w:r w:rsidRPr="000E0D7F">
        <w:tab/>
        <w:t>Entendimiento</w:t>
      </w:r>
      <w:r w:rsidRPr="000E0D7F">
        <w:rPr>
          <w:rFonts w:eastAsia="Times New Roman" w:cs="Arial"/>
          <w:color w:val="131413"/>
          <w:szCs w:val="18"/>
        </w:rPr>
        <w:t xml:space="preserve"> relativo a la interpretación del artículo XVII del Acuerdo General sobre Aranceles Aduaneros y Comercio de 1994;</w:t>
      </w:r>
    </w:p>
    <w:p w14:paraId="3C3C17D2" w14:textId="77777777" w:rsidR="00E150A2" w:rsidRPr="000E0D7F" w:rsidRDefault="00E150A2" w:rsidP="00E150A2">
      <w:pPr>
        <w:spacing w:after="240"/>
        <w:ind w:left="1701" w:hanging="567"/>
      </w:pPr>
      <w:proofErr w:type="spellStart"/>
      <w:r w:rsidRPr="000E0D7F">
        <w:t>iii</w:t>
      </w:r>
      <w:proofErr w:type="spellEnd"/>
      <w:r w:rsidRPr="000E0D7F">
        <w:t>)</w:t>
      </w:r>
      <w:r w:rsidRPr="000E0D7F">
        <w:tab/>
        <w:t>Entendimiento relativo a las disposiciones del Acuerdo General sobre Aranceles Aduaneros y Comercio de 1994 en materia de balanza de pagos;</w:t>
      </w:r>
    </w:p>
    <w:p w14:paraId="686A9DB1" w14:textId="77777777" w:rsidR="00E150A2" w:rsidRPr="000E0D7F" w:rsidRDefault="00E150A2" w:rsidP="00E150A2">
      <w:pPr>
        <w:spacing w:after="240"/>
        <w:ind w:left="1701" w:hanging="567"/>
        <w:rPr>
          <w:rFonts w:eastAsia="Times New Roman" w:cs="Arial"/>
          <w:szCs w:val="18"/>
        </w:rPr>
      </w:pPr>
      <w:proofErr w:type="spellStart"/>
      <w:r w:rsidRPr="000E0D7F">
        <w:t>iv</w:t>
      </w:r>
      <w:proofErr w:type="spellEnd"/>
      <w:r w:rsidRPr="000E0D7F">
        <w:t>)</w:t>
      </w:r>
      <w:r w:rsidRPr="000E0D7F">
        <w:tab/>
        <w:t>Entendimiento</w:t>
      </w:r>
      <w:r w:rsidRPr="000E0D7F">
        <w:rPr>
          <w:rFonts w:eastAsia="Times New Roman" w:cs="Arial"/>
          <w:color w:val="131413"/>
          <w:szCs w:val="18"/>
        </w:rPr>
        <w:t xml:space="preserve"> relativo a la interpretación del artículo XXIV del Acuerdo General sobre Aranceles Aduaneros y Comercio de 1994;</w:t>
      </w:r>
    </w:p>
    <w:p w14:paraId="5D30774D" w14:textId="77777777" w:rsidR="00E150A2" w:rsidRPr="000E0D7F" w:rsidRDefault="00E150A2" w:rsidP="00E150A2">
      <w:pPr>
        <w:spacing w:after="240"/>
        <w:ind w:left="1701" w:hanging="567"/>
        <w:rPr>
          <w:rFonts w:eastAsia="Times New Roman" w:cs="Arial"/>
          <w:szCs w:val="18"/>
        </w:rPr>
      </w:pPr>
      <w:r w:rsidRPr="000E0D7F">
        <w:t>v)</w:t>
      </w:r>
      <w:r w:rsidRPr="000E0D7F">
        <w:tab/>
        <w:t>Entendimiento</w:t>
      </w:r>
      <w:r w:rsidRPr="000E0D7F">
        <w:rPr>
          <w:rFonts w:eastAsia="Times New Roman" w:cs="Arial"/>
          <w:color w:val="131413"/>
          <w:szCs w:val="18"/>
        </w:rPr>
        <w:t xml:space="preserve"> relativo a las exenciones de obligaciones dimanantes del Acuerdo General sobre Aranceles Aduaneros y Comercio de 1994;</w:t>
      </w:r>
    </w:p>
    <w:p w14:paraId="275DA34F" w14:textId="77777777" w:rsidR="00E150A2" w:rsidRPr="000E0D7F" w:rsidRDefault="00E150A2" w:rsidP="00E150A2">
      <w:pPr>
        <w:spacing w:after="240"/>
        <w:ind w:left="1701" w:hanging="567"/>
        <w:rPr>
          <w:rFonts w:eastAsia="Times New Roman" w:cs="Arial"/>
          <w:szCs w:val="18"/>
        </w:rPr>
      </w:pPr>
      <w:r w:rsidRPr="000E0D7F">
        <w:t>vi)</w:t>
      </w:r>
      <w:r w:rsidRPr="000E0D7F">
        <w:tab/>
        <w:t>Entendimiento</w:t>
      </w:r>
      <w:r w:rsidRPr="000E0D7F">
        <w:rPr>
          <w:rFonts w:eastAsia="Times New Roman" w:cs="Arial"/>
          <w:color w:val="131413"/>
          <w:szCs w:val="18"/>
        </w:rPr>
        <w:t xml:space="preserve"> relativo a la interpretación del artículo XXVIII del Acuerdo General sobre Aranceles Aduaneros y Comercio de 1994; y</w:t>
      </w:r>
    </w:p>
    <w:p w14:paraId="4E4EDB79" w14:textId="77777777" w:rsidR="00E150A2" w:rsidRPr="000E0D7F" w:rsidRDefault="00E150A2" w:rsidP="00E150A2">
      <w:pPr>
        <w:spacing w:after="240"/>
        <w:ind w:firstLine="567"/>
        <w:rPr>
          <w:rFonts w:eastAsia="Times New Roman" w:cs="Arial"/>
          <w:szCs w:val="18"/>
        </w:rPr>
      </w:pPr>
      <w:r w:rsidRPr="000E0D7F">
        <w:rPr>
          <w:rFonts w:eastAsia="Times New Roman" w:cs="Arial"/>
          <w:color w:val="131413"/>
          <w:szCs w:val="18"/>
        </w:rPr>
        <w:t>d)</w:t>
      </w:r>
      <w:r w:rsidRPr="000E0D7F">
        <w:rPr>
          <w:rFonts w:eastAsia="Times New Roman" w:cs="Arial"/>
          <w:color w:val="131413"/>
          <w:szCs w:val="18"/>
        </w:rPr>
        <w:tab/>
        <w:t>el Protocolo de Marrakech anexo al GATT de 1994.</w:t>
      </w:r>
    </w:p>
    <w:p w14:paraId="42469FA0" w14:textId="77777777" w:rsidR="00E150A2" w:rsidRPr="000E0D7F" w:rsidRDefault="00E150A2" w:rsidP="00E150A2">
      <w:pPr>
        <w:keepNext/>
        <w:spacing w:after="240"/>
        <w:ind w:left="567" w:hanging="567"/>
        <w:rPr>
          <w:i/>
          <w:iCs/>
        </w:rPr>
      </w:pPr>
      <w:r w:rsidRPr="000E0D7F">
        <w:lastRenderedPageBreak/>
        <w:t>2.</w:t>
      </w:r>
      <w:r w:rsidRPr="000E0D7F">
        <w:tab/>
      </w:r>
      <w:r w:rsidRPr="000E0D7F">
        <w:rPr>
          <w:i/>
          <w:iCs/>
        </w:rPr>
        <w:t>Notas explicativas</w:t>
      </w:r>
    </w:p>
    <w:p w14:paraId="2A66A1D5" w14:textId="77777777" w:rsidR="00E150A2" w:rsidRPr="000E0D7F" w:rsidRDefault="00E150A2" w:rsidP="00E150A2">
      <w:pPr>
        <w:spacing w:after="240"/>
        <w:ind w:firstLine="567"/>
        <w:rPr>
          <w:rFonts w:eastAsia="Times New Roman" w:cs="Arial"/>
          <w:szCs w:val="18"/>
        </w:rPr>
      </w:pPr>
      <w:r w:rsidRPr="000E0D7F">
        <w:rPr>
          <w:rFonts w:eastAsia="Times New Roman" w:cs="Arial"/>
          <w:color w:val="131413"/>
          <w:szCs w:val="18"/>
        </w:rPr>
        <w:t>a)</w:t>
      </w:r>
      <w:r w:rsidRPr="000E0D7F">
        <w:rPr>
          <w:rFonts w:eastAsia="Times New Roman" w:cs="Arial"/>
          <w:color w:val="131413"/>
          <w:szCs w:val="18"/>
        </w:rPr>
        <w:tab/>
        <w:t>Las referencias que en las disposiciones del GATT de 1994 se hacen a una "parte contratante" se entenderán hechas a un "Miembro". Las referencias a una "parte contratante poco desarrollada" y a una "parte contratante desarrollada" se entenderán hechas a un "país en desarrollo Miembro" y un "país desarrollado Miembro". Las referencias al "</w:t>
      </w:r>
      <w:proofErr w:type="gramStart"/>
      <w:r w:rsidRPr="000E0D7F">
        <w:rPr>
          <w:rFonts w:eastAsia="Times New Roman" w:cs="Arial"/>
          <w:color w:val="131413"/>
          <w:szCs w:val="18"/>
        </w:rPr>
        <w:t>Secretario Ejecutivo</w:t>
      </w:r>
      <w:proofErr w:type="gramEnd"/>
      <w:r w:rsidRPr="000E0D7F">
        <w:rPr>
          <w:rFonts w:eastAsia="Times New Roman" w:cs="Arial"/>
          <w:color w:val="131413"/>
          <w:szCs w:val="18"/>
        </w:rPr>
        <w:t>" se entenderán hechas al "Director General de la OMC".</w:t>
      </w:r>
    </w:p>
    <w:p w14:paraId="3E5B20A7" w14:textId="77777777" w:rsidR="00E150A2" w:rsidRPr="000E0D7F" w:rsidRDefault="00E150A2" w:rsidP="00E150A2">
      <w:pPr>
        <w:spacing w:after="240"/>
        <w:ind w:firstLine="567"/>
        <w:rPr>
          <w:rFonts w:eastAsia="Times New Roman" w:cs="Arial"/>
          <w:szCs w:val="18"/>
        </w:rPr>
      </w:pPr>
      <w:r w:rsidRPr="000E0D7F">
        <w:rPr>
          <w:rFonts w:eastAsia="Times New Roman" w:cs="Arial"/>
          <w:color w:val="131413"/>
          <w:szCs w:val="18"/>
        </w:rPr>
        <w:t>b)</w:t>
      </w:r>
      <w:r w:rsidRPr="000E0D7F">
        <w:rPr>
          <w:rFonts w:eastAsia="Times New Roman" w:cs="Arial"/>
          <w:color w:val="131413"/>
          <w:szCs w:val="18"/>
        </w:rPr>
        <w:tab/>
        <w:t>Las referencias que se hacen a las PARTES CONTRATANTES actuando colectivamente en los párrafos 1, 2 y 8 del artículo XV, en el artículo XXXVIII y en las notas a los artículos XII y</w:t>
      </w:r>
      <w:r>
        <w:rPr>
          <w:rFonts w:eastAsia="Times New Roman" w:cs="Arial"/>
          <w:color w:val="131413"/>
          <w:szCs w:val="18"/>
        </w:rPr>
        <w:t> </w:t>
      </w:r>
      <w:r w:rsidRPr="000E0D7F">
        <w:rPr>
          <w:rFonts w:eastAsia="Times New Roman" w:cs="Arial"/>
          <w:color w:val="131413"/>
          <w:szCs w:val="18"/>
        </w:rPr>
        <w:t>XVIII, así como en las disposiciones sobre acuerdos especiales de cambio de los párrafos 2, 3, 6,</w:t>
      </w:r>
      <w:r>
        <w:rPr>
          <w:rFonts w:eastAsia="Times New Roman" w:cs="Arial"/>
          <w:color w:val="131413"/>
          <w:szCs w:val="18"/>
        </w:rPr>
        <w:t> </w:t>
      </w:r>
      <w:r w:rsidRPr="000E0D7F">
        <w:rPr>
          <w:rFonts w:eastAsia="Times New Roman" w:cs="Arial"/>
          <w:color w:val="131413"/>
          <w:szCs w:val="18"/>
        </w:rPr>
        <w:t>7 y 9 del artículo XV del GATT de 1994 se entenderán hechas a la OMC. Las demás funciones que en las disposiciones del GATT de 1994 se atribuyen a las PARTES CONTRATANTES actuando colectivamente serán asignadas por la Conferencia Ministerial.</w:t>
      </w:r>
    </w:p>
    <w:p w14:paraId="490069F4" w14:textId="77777777" w:rsidR="00E150A2" w:rsidRPr="000E0D7F" w:rsidRDefault="00E150A2" w:rsidP="00E150A2">
      <w:pPr>
        <w:spacing w:after="240"/>
        <w:ind w:left="567"/>
        <w:rPr>
          <w:rFonts w:eastAsia="Times New Roman" w:cs="Arial"/>
          <w:szCs w:val="18"/>
        </w:rPr>
      </w:pPr>
      <w:r w:rsidRPr="000E0D7F">
        <w:rPr>
          <w:rFonts w:eastAsia="Times New Roman" w:cs="Arial"/>
          <w:color w:val="131413"/>
          <w:szCs w:val="18"/>
        </w:rPr>
        <w:t>c)</w:t>
      </w:r>
      <w:r w:rsidRPr="000E0D7F">
        <w:rPr>
          <w:rFonts w:eastAsia="Times New Roman" w:cs="Arial"/>
          <w:color w:val="131413"/>
          <w:szCs w:val="18"/>
        </w:rPr>
        <w:tab/>
        <w:t>i)</w:t>
      </w:r>
      <w:r w:rsidRPr="000E0D7F">
        <w:rPr>
          <w:rFonts w:eastAsia="Times New Roman" w:cs="Arial"/>
          <w:color w:val="131413"/>
          <w:szCs w:val="18"/>
        </w:rPr>
        <w:tab/>
        <w:t>El texto del GATT de 1994 será auténtico en español, francés e inglés.</w:t>
      </w:r>
    </w:p>
    <w:p w14:paraId="2FED93D4" w14:textId="77777777" w:rsidR="00E150A2" w:rsidRPr="000E0D7F" w:rsidRDefault="00E150A2" w:rsidP="00E150A2">
      <w:pPr>
        <w:spacing w:after="240"/>
        <w:ind w:left="1701" w:hanging="567"/>
        <w:rPr>
          <w:rFonts w:eastAsia="Times New Roman" w:cs="Arial"/>
          <w:szCs w:val="18"/>
        </w:rPr>
      </w:pPr>
      <w:proofErr w:type="spellStart"/>
      <w:r w:rsidRPr="000E0D7F">
        <w:rPr>
          <w:rFonts w:eastAsia="Times New Roman" w:cs="Arial"/>
          <w:color w:val="131413"/>
          <w:szCs w:val="18"/>
        </w:rPr>
        <w:t>ii</w:t>
      </w:r>
      <w:proofErr w:type="spellEnd"/>
      <w:r w:rsidRPr="000E0D7F">
        <w:rPr>
          <w:rFonts w:eastAsia="Times New Roman" w:cs="Arial"/>
          <w:color w:val="131413"/>
          <w:szCs w:val="18"/>
        </w:rPr>
        <w:t>)</w:t>
      </w:r>
      <w:r w:rsidRPr="000E0D7F">
        <w:rPr>
          <w:rFonts w:eastAsia="Times New Roman" w:cs="Arial"/>
          <w:color w:val="131413"/>
          <w:szCs w:val="18"/>
        </w:rPr>
        <w:tab/>
        <w:t>El texto del GATT de 1994 en francés será objeto de las rectificaciones terminológicas que se indican en el Anexo A al documento MTN.TNC/41.</w:t>
      </w:r>
    </w:p>
    <w:p w14:paraId="484CEBDB" w14:textId="77777777" w:rsidR="00E150A2" w:rsidRPr="000E0D7F" w:rsidRDefault="00E150A2" w:rsidP="00E150A2">
      <w:pPr>
        <w:spacing w:after="240"/>
        <w:ind w:left="1701" w:hanging="567"/>
        <w:rPr>
          <w:rFonts w:eastAsia="Times New Roman" w:cs="Arial"/>
          <w:szCs w:val="18"/>
        </w:rPr>
      </w:pPr>
      <w:proofErr w:type="spellStart"/>
      <w:r w:rsidRPr="000E0D7F">
        <w:rPr>
          <w:rFonts w:eastAsia="Times New Roman" w:cs="Arial"/>
          <w:color w:val="131413"/>
          <w:szCs w:val="18"/>
        </w:rPr>
        <w:t>iii</w:t>
      </w:r>
      <w:proofErr w:type="spellEnd"/>
      <w:r w:rsidRPr="000E0D7F">
        <w:rPr>
          <w:rFonts w:eastAsia="Times New Roman" w:cs="Arial"/>
          <w:color w:val="131413"/>
          <w:szCs w:val="18"/>
        </w:rPr>
        <w:t>)</w:t>
      </w:r>
      <w:r w:rsidRPr="000E0D7F">
        <w:rPr>
          <w:rFonts w:eastAsia="Times New Roman" w:cs="Arial"/>
          <w:color w:val="131413"/>
          <w:szCs w:val="18"/>
        </w:rPr>
        <w:tab/>
        <w:t>El texto auténtico del GATT de 1994 en español será el del Volumen IV de la serie de Instrumentos Básicos y Documentos Diversos, con las rectificaciones terminológicas que se indican en el Anexo B al documento MTN.TNC/41.</w:t>
      </w:r>
    </w:p>
    <w:p w14:paraId="4A01011B" w14:textId="77777777" w:rsidR="00E150A2" w:rsidRPr="000E0D7F" w:rsidRDefault="00E150A2" w:rsidP="00E150A2">
      <w:pPr>
        <w:spacing w:after="240"/>
        <w:rPr>
          <w:rFonts w:eastAsia="Times New Roman" w:cs="Arial"/>
          <w:szCs w:val="18"/>
        </w:rPr>
      </w:pPr>
      <w:r w:rsidRPr="000E0D7F">
        <w:t>3.</w:t>
      </w:r>
      <w:r w:rsidRPr="000E0D7F">
        <w:tab/>
        <w:t>a)</w:t>
      </w:r>
      <w:r w:rsidRPr="000E0D7F">
        <w:tab/>
        <w:t xml:space="preserve">Las disposiciones de la Parte II del GATT de 1994 no se aplicarán a las medidas adoptadas por un Miembro en virtud de una legislación imperativa específica promulgada por ese Miembro antes </w:t>
      </w:r>
      <w:r w:rsidRPr="00DC584B">
        <w:t>de pasar a ser parte contratante del</w:t>
      </w:r>
      <w:r w:rsidRPr="000E0D7F">
        <w:rPr>
          <w:rFonts w:eastAsia="Times New Roman" w:cs="Arial"/>
          <w:color w:val="131413"/>
          <w:szCs w:val="18"/>
        </w:rPr>
        <w:t xml:space="preserve"> GATT de 1947 que prohíba la utilización, venta o alquiler de embarcaciones construidas o reconstruidas en el extranjero para aplicaciones comerciales entre puntos situados en aguas nacionales o en las aguas de una zona económica exclusiva. Esta exención se aplica: a) a la continuación o pronta renovación de una disposición no conforme de tal legislación; y b) a la enmienda de una disposición no conforme de tal legislación en la medida en que la enmienda no disminuya la conformidad de la disposición con la Parte II del GATT de 1947. Esta exención queda circunscrita a las medidas adoptadas en virtud de una legislación del tipo descrito </w:t>
      </w:r>
      <w:r w:rsidRPr="000E0D7F">
        <w:rPr>
          <w:rFonts w:eastAsia="Times New Roman" w:cs="Arial"/>
          <w:i/>
          <w:iCs/>
          <w:color w:val="131413"/>
          <w:szCs w:val="18"/>
        </w:rPr>
        <w:t>supra</w:t>
      </w:r>
      <w:r w:rsidRPr="0094544E">
        <w:t xml:space="preserve"> </w:t>
      </w:r>
      <w:r w:rsidRPr="000E0D7F">
        <w:rPr>
          <w:rFonts w:eastAsia="Times New Roman" w:cs="Arial"/>
          <w:color w:val="131413"/>
          <w:szCs w:val="18"/>
        </w:rPr>
        <w:t>que se haya notificado y especificado con anterioridad a la fecha de entrada en vigor del Acuerdo sobre la OMC. Si tal legislación se modificara después de manera que disminuyera su conformidad con la Parte II del GATT de 1994, no podrá quedar ya amparada por el presente párrafo.</w:t>
      </w:r>
    </w:p>
    <w:p w14:paraId="23944CC4" w14:textId="77777777" w:rsidR="00E150A2" w:rsidRPr="000E0D7F" w:rsidRDefault="00E150A2" w:rsidP="00E150A2">
      <w:pPr>
        <w:spacing w:after="240"/>
        <w:rPr>
          <w:rFonts w:eastAsia="Times New Roman" w:cs="Arial"/>
          <w:szCs w:val="18"/>
        </w:rPr>
      </w:pPr>
      <w:r w:rsidRPr="000E0D7F">
        <w:tab/>
        <w:t>b)</w:t>
      </w:r>
      <w:r w:rsidRPr="000E0D7F">
        <w:tab/>
        <w:t>La</w:t>
      </w:r>
      <w:r w:rsidRPr="000E0D7F">
        <w:rPr>
          <w:rFonts w:eastAsia="Times New Roman" w:cs="Arial"/>
          <w:color w:val="131413"/>
          <w:szCs w:val="18"/>
        </w:rPr>
        <w:t xml:space="preserve"> Conferencia Ministerial examinará esta exención a más tardar cinco años después de la fecha de entrada en vigor del Acuerdo sobre la OMC y después, en tanto que la exención siga en vigor, cada dos años, con el fin de comprobar si subsisten las condiciones que crearon la necesidad de la exención.</w:t>
      </w:r>
    </w:p>
    <w:p w14:paraId="0B51BA85" w14:textId="77777777" w:rsidR="00E150A2" w:rsidRPr="000E0D7F" w:rsidRDefault="00E150A2" w:rsidP="00E150A2">
      <w:pPr>
        <w:spacing w:after="240"/>
        <w:rPr>
          <w:rFonts w:eastAsia="Times New Roman" w:cs="Arial"/>
          <w:szCs w:val="18"/>
        </w:rPr>
      </w:pPr>
      <w:r w:rsidRPr="000E0D7F">
        <w:rPr>
          <w:rFonts w:eastAsia="Times New Roman" w:cs="Arial"/>
          <w:color w:val="131413"/>
          <w:szCs w:val="18"/>
        </w:rPr>
        <w:tab/>
        <w:t>c)</w:t>
      </w:r>
      <w:r w:rsidRPr="000E0D7F">
        <w:rPr>
          <w:rFonts w:eastAsia="Times New Roman" w:cs="Arial"/>
          <w:color w:val="131413"/>
          <w:szCs w:val="18"/>
        </w:rPr>
        <w:tab/>
        <w:t>Un Miembro cuyas medidas estén amparadas por esta exención presentará anualmente una notificación estadística detallada, que comprenderá un promedio quinquenal móvil de las entregas efectivas y previstas de las embarcaciones pertinentes e información adicional sobre la utilización, venta, alquiler o reparación de las embarcaciones pertinentes abarcadas por esta exención.</w:t>
      </w:r>
    </w:p>
    <w:p w14:paraId="596D4673" w14:textId="77777777" w:rsidR="00E150A2" w:rsidRPr="000E0D7F" w:rsidRDefault="00E150A2" w:rsidP="00E150A2">
      <w:pPr>
        <w:spacing w:after="240"/>
        <w:rPr>
          <w:rFonts w:eastAsia="Times New Roman" w:cs="Arial"/>
          <w:szCs w:val="18"/>
        </w:rPr>
      </w:pPr>
      <w:r w:rsidRPr="000E0D7F">
        <w:rPr>
          <w:rFonts w:eastAsia="Times New Roman" w:cs="Arial"/>
          <w:color w:val="131413"/>
          <w:szCs w:val="18"/>
        </w:rPr>
        <w:tab/>
        <w:t>d)</w:t>
      </w:r>
      <w:r w:rsidRPr="000E0D7F">
        <w:rPr>
          <w:rFonts w:eastAsia="Times New Roman" w:cs="Arial"/>
          <w:color w:val="131413"/>
          <w:szCs w:val="18"/>
        </w:rPr>
        <w:tab/>
        <w:t>Un Miembro que considere que esta exención se aplica de manera tal que justifica una limitación recíproca y proporcionada a la utilización, venta, alquiler o reparación de embarcaciones construidas en el territorio del Miembro que se haya acogido a la exención tendrá libertad para establecer tal limitación previa notificación a la Conferencia Ministerial.</w:t>
      </w:r>
    </w:p>
    <w:p w14:paraId="50348437" w14:textId="77777777" w:rsidR="00E150A2" w:rsidRPr="000E0D7F" w:rsidRDefault="00E150A2" w:rsidP="00E150A2">
      <w:pPr>
        <w:spacing w:after="240"/>
        <w:rPr>
          <w:rFonts w:eastAsia="Times New Roman" w:cs="Arial"/>
          <w:color w:val="131413"/>
          <w:szCs w:val="18"/>
        </w:rPr>
      </w:pPr>
      <w:r w:rsidRPr="000E0D7F">
        <w:rPr>
          <w:rFonts w:eastAsia="Times New Roman" w:cs="Arial"/>
          <w:color w:val="131413"/>
          <w:szCs w:val="18"/>
        </w:rPr>
        <w:tab/>
        <w:t>e)</w:t>
      </w:r>
      <w:r w:rsidRPr="000E0D7F">
        <w:rPr>
          <w:rFonts w:eastAsia="Times New Roman" w:cs="Arial"/>
          <w:color w:val="131413"/>
          <w:szCs w:val="18"/>
        </w:rPr>
        <w:tab/>
        <w:t>Esta exención se entiende sin perjuicio de las soluciones relativas a aspectos específicos de la legislación por ella amparada negociadas en acuerdos sectoriales o en otros foros.</w:t>
      </w:r>
    </w:p>
    <w:p w14:paraId="05CB403A" w14:textId="03E6401D" w:rsidR="00F8590C" w:rsidRPr="000E0D7F" w:rsidRDefault="00F8590C" w:rsidP="00F8590C">
      <w:pPr>
        <w:spacing w:after="240"/>
        <w:jc w:val="left"/>
        <w:rPr>
          <w:b/>
          <w:bCs/>
        </w:rPr>
      </w:pPr>
    </w:p>
    <w:p w14:paraId="1459B77B" w14:textId="77777777" w:rsidR="00850889" w:rsidRPr="008A7BB6" w:rsidRDefault="00850889" w:rsidP="008A7BB6"/>
    <w:sectPr w:rsidR="00850889" w:rsidRPr="008A7BB6"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09C1150A" w14:textId="77777777" w:rsidR="00E150A2" w:rsidRPr="00E150A2" w:rsidRDefault="00E150A2" w:rsidP="00E150A2">
      <w:pPr>
        <w:pStyle w:val="FootnoteText"/>
        <w:rPr>
          <w:lang w:val="es-ES"/>
        </w:rPr>
      </w:pPr>
      <w:r>
        <w:rPr>
          <w:rStyle w:val="FootnoteReference"/>
        </w:rPr>
        <w:footnoteRef/>
      </w:r>
      <w:r w:rsidRPr="00E150A2">
        <w:rPr>
          <w:lang w:val="es-ES"/>
        </w:rPr>
        <w:t xml:space="preserve"> Las exenciones abarcadas por esta disposición son las enumeradas en la nota 7 al pie de las páginas 11 y 12, Parte II, del documento MTN/FA de 15 de diciembre de 1993 y en el documento MTN/FA/Corr.6 de 18 de marzo de 1994. La Conferencia Ministerial, en su primer período de sesiones, establecerá una lista revisada de las exenciones abarcadas por esta disposición, a la que se añadirán las exenciones que hayan podido otorgarse, de conformidad con el GATT de 1947, a partir del 15 de diciembre de 1993 y antes de la fecha de entrada en vigor del Acuerdo sobre la OMC y se suprimirán las exenciones que hayan expirado para entonces.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150A2"/>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0A2"/>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943</Words>
  <Characters>5376</Characters>
  <Application>Microsoft Office Word</Application>
  <DocSecurity>0</DocSecurity>
  <Lines>44</Lines>
  <Paragraphs>12</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2022-02-08T21:42:00Z</dcterms:created>
  <dcterms:modified xsi:type="dcterms:W3CDTF">2022-02-08T21:42:00Z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