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0D1D4" w14:textId="77777777" w:rsidR="002356D3" w:rsidRDefault="002356D3" w:rsidP="002356D3"/>
    <w:p w14:paraId="724EBA9B" w14:textId="77777777" w:rsidR="002356D3" w:rsidRDefault="002356D3" w:rsidP="002356D3"/>
    <w:p w14:paraId="5159D19B" w14:textId="77777777" w:rsidR="002356D3" w:rsidRDefault="002356D3" w:rsidP="002356D3"/>
    <w:p w14:paraId="7DCB068A" w14:textId="77777777" w:rsidR="002356D3" w:rsidRDefault="002356D3" w:rsidP="002356D3"/>
    <w:p w14:paraId="70C6D72A" w14:textId="77777777" w:rsidR="002356D3" w:rsidRDefault="002356D3" w:rsidP="002356D3"/>
    <w:p w14:paraId="173949FD" w14:textId="77777777" w:rsidR="002356D3" w:rsidRDefault="002356D3" w:rsidP="002356D3"/>
    <w:p w14:paraId="0BD83FC3" w14:textId="77777777" w:rsidR="002356D3" w:rsidRDefault="002356D3" w:rsidP="002356D3"/>
    <w:p w14:paraId="0212CEF2" w14:textId="77777777" w:rsidR="002356D3" w:rsidRDefault="002356D3" w:rsidP="002356D3"/>
    <w:p w14:paraId="2699C8BF" w14:textId="77777777" w:rsidR="002356D3" w:rsidRDefault="002356D3" w:rsidP="002356D3"/>
    <w:p w14:paraId="74B70F05" w14:textId="77777777" w:rsidR="002356D3" w:rsidRDefault="002356D3" w:rsidP="002356D3"/>
    <w:p w14:paraId="2DC8162C" w14:textId="77777777" w:rsidR="002356D3" w:rsidRDefault="002356D3" w:rsidP="002356D3"/>
    <w:p w14:paraId="70076A6D" w14:textId="77777777" w:rsidR="002356D3" w:rsidRDefault="002356D3" w:rsidP="002356D3"/>
    <w:p w14:paraId="678ACCA2" w14:textId="77777777" w:rsidR="002356D3" w:rsidRDefault="002356D3" w:rsidP="002356D3"/>
    <w:p w14:paraId="52D95890" w14:textId="77777777" w:rsidR="002356D3" w:rsidRDefault="002356D3" w:rsidP="002356D3"/>
    <w:p w14:paraId="772773DC" w14:textId="77777777" w:rsidR="002356D3" w:rsidRDefault="002356D3" w:rsidP="002356D3"/>
    <w:p w14:paraId="3F94C02C" w14:textId="77777777" w:rsidR="002356D3" w:rsidRDefault="002356D3" w:rsidP="002356D3"/>
    <w:p w14:paraId="489D3E90" w14:textId="77777777" w:rsidR="002356D3" w:rsidRDefault="002356D3" w:rsidP="002356D3"/>
    <w:p w14:paraId="5375E757" w14:textId="77777777" w:rsidR="002356D3" w:rsidRDefault="002356D3" w:rsidP="002356D3"/>
    <w:p w14:paraId="6D38C3F4" w14:textId="77777777" w:rsidR="002356D3" w:rsidRDefault="002356D3" w:rsidP="002356D3"/>
    <w:p w14:paraId="35C24F31" w14:textId="77777777" w:rsidR="002356D3" w:rsidRPr="000E0D7F" w:rsidRDefault="002356D3" w:rsidP="002356D3"/>
    <w:p w14:paraId="7A64E5D6" w14:textId="77777777" w:rsidR="002356D3" w:rsidRPr="000E0D7F" w:rsidRDefault="002356D3" w:rsidP="002356D3"/>
    <w:p w14:paraId="0BD2372F" w14:textId="77777777" w:rsidR="002356D3" w:rsidRPr="000E0D7F" w:rsidRDefault="002356D3" w:rsidP="002356D3">
      <w:pPr>
        <w:spacing w:after="240"/>
        <w:jc w:val="center"/>
        <w:rPr>
          <w:b/>
          <w:bCs/>
          <w:szCs w:val="18"/>
        </w:rPr>
      </w:pPr>
      <w:r w:rsidRPr="000E0D7F">
        <w:rPr>
          <w:b/>
          <w:bCs/>
          <w:szCs w:val="18"/>
        </w:rPr>
        <w:t xml:space="preserve">PROTOCOLO DE MARRAKECH ANEXO AL ACUERDO GENERAL </w:t>
      </w:r>
      <w:r w:rsidRPr="000E0D7F">
        <w:rPr>
          <w:b/>
          <w:bCs/>
          <w:szCs w:val="18"/>
        </w:rPr>
        <w:br/>
        <w:t>SOBRE ARANCELES ADUANEROS Y COMERCIO DE 1994</w:t>
      </w:r>
    </w:p>
    <w:p w14:paraId="1A9BC40B" w14:textId="77777777" w:rsidR="002356D3" w:rsidRPr="000E0D7F" w:rsidRDefault="002356D3" w:rsidP="002356D3"/>
    <w:p w14:paraId="64BC95C9" w14:textId="77777777" w:rsidR="002356D3" w:rsidRPr="000E0D7F" w:rsidRDefault="002356D3" w:rsidP="002356D3">
      <w:pPr>
        <w:spacing w:after="240"/>
        <w:jc w:val="left"/>
        <w:rPr>
          <w:szCs w:val="18"/>
        </w:rPr>
      </w:pPr>
      <w:r w:rsidRPr="000E0D7F">
        <w:rPr>
          <w:szCs w:val="18"/>
        </w:rPr>
        <w:br w:type="page"/>
      </w:r>
    </w:p>
    <w:p w14:paraId="31CB3E46" w14:textId="77777777" w:rsidR="002356D3" w:rsidRPr="000E0D7F" w:rsidRDefault="002356D3" w:rsidP="002356D3">
      <w:pPr>
        <w:spacing w:after="240"/>
        <w:jc w:val="center"/>
        <w:rPr>
          <w:b/>
          <w:bCs/>
          <w:szCs w:val="18"/>
        </w:rPr>
      </w:pPr>
      <w:r w:rsidRPr="000E0D7F">
        <w:rPr>
          <w:b/>
          <w:bCs/>
          <w:szCs w:val="18"/>
        </w:rPr>
        <w:lastRenderedPageBreak/>
        <w:t xml:space="preserve">PROTOCOLO DE MARRAKECH ANEXO AL ACUERDO GENERAL </w:t>
      </w:r>
      <w:r w:rsidRPr="000E0D7F">
        <w:rPr>
          <w:b/>
          <w:bCs/>
          <w:szCs w:val="18"/>
        </w:rPr>
        <w:br/>
        <w:t>SOBRE ARANCELES ADUANEROS Y COMERCIO DE 1994</w:t>
      </w:r>
    </w:p>
    <w:p w14:paraId="5D20DFBD" w14:textId="77777777" w:rsidR="002356D3" w:rsidRPr="000E0D7F" w:rsidRDefault="002356D3" w:rsidP="002356D3">
      <w:pPr>
        <w:spacing w:after="240"/>
        <w:rPr>
          <w:i/>
          <w:szCs w:val="18"/>
        </w:rPr>
      </w:pPr>
      <w:r w:rsidRPr="000E0D7F">
        <w:rPr>
          <w:i/>
          <w:szCs w:val="18"/>
        </w:rPr>
        <w:t>Los Miembros,</w:t>
      </w:r>
    </w:p>
    <w:p w14:paraId="51344D78" w14:textId="77777777" w:rsidR="002356D3" w:rsidRPr="000E0D7F" w:rsidRDefault="002356D3" w:rsidP="002356D3">
      <w:pPr>
        <w:spacing w:after="240"/>
        <w:rPr>
          <w:szCs w:val="18"/>
        </w:rPr>
      </w:pPr>
      <w:r w:rsidRPr="000E0D7F">
        <w:rPr>
          <w:i/>
          <w:szCs w:val="18"/>
        </w:rPr>
        <w:tab/>
        <w:t xml:space="preserve">Habiendo </w:t>
      </w:r>
      <w:r w:rsidRPr="000E0D7F">
        <w:rPr>
          <w:szCs w:val="18"/>
        </w:rPr>
        <w:t>llevado a cabo negociaciones en el marco del GATT de 1947, en cumplimiento de la Declaración Ministerial sobre la Ronda Uruguay,</w:t>
      </w:r>
    </w:p>
    <w:p w14:paraId="5E8CDF71" w14:textId="77777777" w:rsidR="002356D3" w:rsidRPr="000E0D7F" w:rsidRDefault="002356D3" w:rsidP="002356D3">
      <w:pPr>
        <w:spacing w:after="240"/>
        <w:rPr>
          <w:szCs w:val="18"/>
        </w:rPr>
      </w:pPr>
      <w:r w:rsidRPr="000E0D7F">
        <w:rPr>
          <w:i/>
          <w:szCs w:val="18"/>
        </w:rPr>
        <w:tab/>
        <w:t xml:space="preserve">Convienen </w:t>
      </w:r>
      <w:r w:rsidRPr="000E0D7F">
        <w:rPr>
          <w:szCs w:val="18"/>
        </w:rPr>
        <w:t>en lo siguiente:</w:t>
      </w:r>
    </w:p>
    <w:p w14:paraId="5D64CCA3" w14:textId="77777777" w:rsidR="002356D3" w:rsidRPr="000E0D7F" w:rsidRDefault="002356D3" w:rsidP="002356D3">
      <w:pPr>
        <w:spacing w:after="240"/>
        <w:rPr>
          <w:szCs w:val="18"/>
        </w:rPr>
      </w:pPr>
      <w:r w:rsidRPr="000E0D7F">
        <w:rPr>
          <w:szCs w:val="18"/>
        </w:rPr>
        <w:t>1.</w:t>
      </w:r>
      <w:r w:rsidRPr="000E0D7F">
        <w:rPr>
          <w:szCs w:val="18"/>
        </w:rPr>
        <w:tab/>
        <w:t>La lista de concesiones relativa a un Miembro anexa al presente Protocolo pasará a ser la Lista relativa a ese Miembro anexa al GATT de 1994 en la fecha en que entre en vigor para él el Acuerdo sobre la OMC. Toda lista presentada de conformidad con la Decisión Ministerial sobre las medidas en favor de los países menos adelantados se considerará anexa al presente Protocolo.</w:t>
      </w:r>
    </w:p>
    <w:p w14:paraId="7F0B7A34" w14:textId="77777777" w:rsidR="002356D3" w:rsidRPr="000E0D7F" w:rsidRDefault="002356D3" w:rsidP="002356D3">
      <w:pPr>
        <w:spacing w:after="240"/>
        <w:rPr>
          <w:szCs w:val="18"/>
        </w:rPr>
      </w:pPr>
      <w:r w:rsidRPr="000E0D7F">
        <w:rPr>
          <w:szCs w:val="18"/>
        </w:rPr>
        <w:t>2.</w:t>
      </w:r>
      <w:r w:rsidRPr="000E0D7F">
        <w:rPr>
          <w:szCs w:val="18"/>
        </w:rPr>
        <w:tab/>
        <w:t>Las reducciones arancelarias acordadas por cada Miembro se aplicarán mediante cinco reducciones iguales de los tipos, salvo que se indique lo contrario en la Lista del Miembro. La primera de esas reducciones se hará efectiva en la fecha de entrada en vigor del Acuerdo sobre la OMC; cada una de las reducciones sucesivas se llevará a efecto el 1</w:t>
      </w:r>
      <w:r>
        <w:rPr>
          <w:szCs w:val="18"/>
        </w:rPr>
        <w:t>º</w:t>
      </w:r>
      <w:r w:rsidRPr="000E0D7F">
        <w:rPr>
          <w:szCs w:val="18"/>
        </w:rPr>
        <w:t xml:space="preserve"> de enero de cada uno de los años siguientes, y el tipo final se hará efectivo, a más tardar, a los cuatro años de la fecha de entrada en vigor del Acuerdo sobre la OMC, salvo indicación en contrario en la Lista del Miembro. Todo Miembro que acepte el Acuerdo sobre la OMC después de su entrada en vigor hará efectivas, en la fecha en que dicho Acuerdo entre en vigor para él, todas las reducciones que ya hayan tenido lugar, junto con las reducciones que, de conformidad con la cláusula precedente, hubiera estado obligado a llevar a efecto el 1</w:t>
      </w:r>
      <w:r>
        <w:rPr>
          <w:szCs w:val="18"/>
        </w:rPr>
        <w:t>º</w:t>
      </w:r>
      <w:r w:rsidRPr="000E0D7F">
        <w:rPr>
          <w:szCs w:val="18"/>
        </w:rPr>
        <w:t xml:space="preserve"> de enero del año siguiente, y hará efectivas todas las reducciones restantes con arreglo al calendario previsto en la cláusula precedente, salvo indicación en contrario en su Lista. El tipo reducido deberá redondearse en cada etapa al primer decimal. Con respecto a los productos agropecuarios, tal como se definen en el artículo 2 del Acuerdo sobre la Agricultura, el escalonamiento de las reducciones se aplicará en la forma especificada en las partes pertinentes de las listas.</w:t>
      </w:r>
    </w:p>
    <w:p w14:paraId="765C19CB" w14:textId="77777777" w:rsidR="002356D3" w:rsidRPr="000E0D7F" w:rsidRDefault="002356D3" w:rsidP="002356D3">
      <w:pPr>
        <w:spacing w:after="240"/>
        <w:rPr>
          <w:szCs w:val="18"/>
        </w:rPr>
      </w:pPr>
      <w:r w:rsidRPr="000E0D7F">
        <w:rPr>
          <w:szCs w:val="18"/>
        </w:rPr>
        <w:t>3.</w:t>
      </w:r>
      <w:r w:rsidRPr="000E0D7F">
        <w:rPr>
          <w:szCs w:val="18"/>
        </w:rPr>
        <w:tab/>
        <w:t>La aplicación de las concesiones y compromisos recogidos en las listas anexas al presente Protocolo será sometida, previa petición, a un examen multilateral por los Miembros. Esta disposición se entenderá sin perjuicio de los derechos y obligaciones que corresponden a los Miembros en virtud de los Acuerdos contenidos en el Anexo 1A del Acuerdo sobre la OMC.</w:t>
      </w:r>
    </w:p>
    <w:p w14:paraId="46567928" w14:textId="77777777" w:rsidR="002356D3" w:rsidRPr="000E0D7F" w:rsidRDefault="002356D3" w:rsidP="002356D3">
      <w:pPr>
        <w:spacing w:after="240"/>
        <w:rPr>
          <w:szCs w:val="18"/>
        </w:rPr>
      </w:pPr>
      <w:r w:rsidRPr="000E0D7F">
        <w:rPr>
          <w:szCs w:val="18"/>
        </w:rPr>
        <w:t>4.</w:t>
      </w:r>
      <w:r w:rsidRPr="000E0D7F">
        <w:rPr>
          <w:szCs w:val="18"/>
        </w:rPr>
        <w:tab/>
        <w:t>Una vez que la lista de concesiones relativa a un Miembro anexa al presente Protocolo haya pasado a ser Lista anexa al GATT de 1994 de conformidad con las disposiciones del párrafo 1, ese Miembro tendrá en todo momento la libertad de suspender o retirar, en todo o en parte, la concesión contenida en esa Lista con respecto a cualquier producto del que el abastecedor principal sea otro participante en la Ronda Uruguay cuya lista todavía no haya pasado a ser Lista anexa al GATT de 1994. Sin embargo, sólo se podrá tomar tal medida después de haber notificado por escrito al Consejo del Comercio de Mercancías esa suspensión o retiro de una concesión y después de haber celebrado consultas, previa petición, con cualquier Miembro para el que la lista pertinente relativa a</w:t>
      </w:r>
      <w:r>
        <w:rPr>
          <w:szCs w:val="18"/>
        </w:rPr>
        <w:t> </w:t>
      </w:r>
      <w:r w:rsidRPr="000E0D7F">
        <w:rPr>
          <w:szCs w:val="18"/>
        </w:rPr>
        <w:t>él haya pasado a ser una Lista anexa al GATT de 1994 y que tenga un interés sustancial en el producto de que se trate. Toda concesión así suspendida o retirada será aplicada a partir del mismo día en que la lista del participante que tenga un interés de abastecedor principal pase a ser Lista anexa al GATT de 1994.</w:t>
      </w:r>
    </w:p>
    <w:p w14:paraId="7E72C978" w14:textId="77777777" w:rsidR="002356D3" w:rsidRPr="000E0D7F" w:rsidRDefault="002356D3" w:rsidP="002356D3">
      <w:pPr>
        <w:tabs>
          <w:tab w:val="left" w:pos="567"/>
        </w:tabs>
        <w:spacing w:after="240"/>
        <w:ind w:left="1134" w:hanging="1134"/>
        <w:rPr>
          <w:szCs w:val="18"/>
        </w:rPr>
      </w:pPr>
      <w:r w:rsidRPr="000E0D7F">
        <w:rPr>
          <w:szCs w:val="18"/>
        </w:rPr>
        <w:t>5.</w:t>
      </w:r>
      <w:r w:rsidRPr="000E0D7F">
        <w:rPr>
          <w:szCs w:val="18"/>
        </w:rPr>
        <w:tab/>
        <w:t>a)</w:t>
      </w:r>
      <w:r w:rsidRPr="000E0D7F">
        <w:rPr>
          <w:szCs w:val="18"/>
        </w:rPr>
        <w:tab/>
        <w:t>Sin perjuicio de lo dispuesto en el párrafo 2 del artículo 4 del Acuerdo sobre la Agricultura, a los efectos de la referencia que se hace a la fecha del GATT de 1994 en los apartados b) y c) del párrafo 1 de su artículo II, la fecha aplicable para cada producto que sea objeto de una concesión comprendida en una lista de concesiones anexa al presente Protocolo será la fecha de éste.</w:t>
      </w:r>
    </w:p>
    <w:p w14:paraId="14A80DE9" w14:textId="77777777" w:rsidR="002356D3" w:rsidRPr="000E0D7F" w:rsidRDefault="002356D3" w:rsidP="002356D3">
      <w:pPr>
        <w:tabs>
          <w:tab w:val="left" w:pos="567"/>
        </w:tabs>
        <w:spacing w:after="240"/>
        <w:ind w:left="1134" w:hanging="1134"/>
        <w:rPr>
          <w:szCs w:val="18"/>
        </w:rPr>
      </w:pPr>
      <w:r w:rsidRPr="000E0D7F">
        <w:rPr>
          <w:szCs w:val="18"/>
        </w:rPr>
        <w:tab/>
        <w:t>b)</w:t>
      </w:r>
      <w:r w:rsidRPr="000E0D7F">
        <w:rPr>
          <w:szCs w:val="18"/>
        </w:rPr>
        <w:tab/>
        <w:t>A los efectos de la referencia que se hace a la fecha del GATT de 1994 en el apartado a) del párrafo 6 de su artículo II, la fecha aplicable para una lista de concesiones anexa al presente Protocolo será la fecha de éste.</w:t>
      </w:r>
    </w:p>
    <w:p w14:paraId="0E2A6D4D" w14:textId="77777777" w:rsidR="002356D3" w:rsidRPr="000E0D7F" w:rsidRDefault="002356D3" w:rsidP="002356D3">
      <w:pPr>
        <w:keepLines/>
        <w:spacing w:after="240"/>
        <w:rPr>
          <w:szCs w:val="18"/>
        </w:rPr>
      </w:pPr>
      <w:r w:rsidRPr="000E0D7F">
        <w:rPr>
          <w:szCs w:val="18"/>
        </w:rPr>
        <w:lastRenderedPageBreak/>
        <w:t>6.</w:t>
      </w:r>
      <w:r w:rsidRPr="000E0D7F">
        <w:rPr>
          <w:szCs w:val="18"/>
        </w:rPr>
        <w:tab/>
        <w:t>En casos de modificación o retiro de concesiones relativas a medidas no arancelarias que figuren en la Parte III de las Listas, serán de aplicación las disposiciones del artículo XXVIII del GATT de 1994 y el "Procedimiento para las negociaciones en virtud del artículo XXVIII" aprobado el 10 de noviembre de 1980 (IBDD 27S/27-28), sin perjuicio de los derechos y obligaciones que corresponden a los Miembros en virtud del GATT de 1994.</w:t>
      </w:r>
    </w:p>
    <w:p w14:paraId="0CAFEBA8" w14:textId="77777777" w:rsidR="002356D3" w:rsidRPr="000E0D7F" w:rsidRDefault="002356D3" w:rsidP="002356D3">
      <w:pPr>
        <w:spacing w:after="240"/>
        <w:rPr>
          <w:szCs w:val="18"/>
        </w:rPr>
      </w:pPr>
      <w:r w:rsidRPr="000E0D7F">
        <w:rPr>
          <w:szCs w:val="18"/>
        </w:rPr>
        <w:t>7.</w:t>
      </w:r>
      <w:r w:rsidRPr="000E0D7F">
        <w:rPr>
          <w:szCs w:val="18"/>
        </w:rPr>
        <w:tab/>
        <w:t>En cada caso en que de una lista anexa al presente Protocolo resulte para determinado producto un trato menos favorable que el previsto para ese producto en las Listas anexas al GATT de 1947 antes de la entrada en vigor del Acuerdo sobre la OMC, se considerará que el Miembro al que se refiere la Lista ha adoptado las medidas apropiadas que en otro caso habrían sido necesarias de conformidad con las disposiciones pertinentes del artículo XXVIII del GATT de 1947 o del GATT de 1994. Las disposiciones del presente párrafo serán aplicables únicamente a Egipto, Perú, Sudáfrica y Uruguay.</w:t>
      </w:r>
    </w:p>
    <w:p w14:paraId="53F046D9" w14:textId="77777777" w:rsidR="002356D3" w:rsidRPr="000E0D7F" w:rsidRDefault="002356D3" w:rsidP="002356D3">
      <w:pPr>
        <w:spacing w:after="240"/>
        <w:rPr>
          <w:szCs w:val="18"/>
        </w:rPr>
      </w:pPr>
      <w:r w:rsidRPr="000E0D7F">
        <w:rPr>
          <w:szCs w:val="18"/>
        </w:rPr>
        <w:t>8.</w:t>
      </w:r>
      <w:r w:rsidRPr="000E0D7F">
        <w:rPr>
          <w:szCs w:val="18"/>
        </w:rPr>
        <w:tab/>
        <w:t>El texto auténtico de las Listas anexas al presente Protocolo, en español, en francés o en inglés, es el que se indica en cada Lista.</w:t>
      </w:r>
    </w:p>
    <w:p w14:paraId="1459B77B" w14:textId="43DAE339" w:rsidR="00850889" w:rsidRPr="002356D3" w:rsidRDefault="002356D3" w:rsidP="002356D3">
      <w:r w:rsidRPr="000E0D7F">
        <w:rPr>
          <w:szCs w:val="18"/>
        </w:rPr>
        <w:t>9.</w:t>
      </w:r>
      <w:r w:rsidRPr="000E0D7F">
        <w:rPr>
          <w:szCs w:val="18"/>
        </w:rPr>
        <w:tab/>
        <w:t>La fecha del presente Protocolo es la del 15 de abril de 1994.</w:t>
      </w:r>
    </w:p>
    <w:sectPr w:rsidR="00850889" w:rsidRPr="002356D3"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82B84"/>
    <w:rsid w:val="001946F2"/>
    <w:rsid w:val="001D0F5C"/>
    <w:rsid w:val="001E291F"/>
    <w:rsid w:val="00233408"/>
    <w:rsid w:val="002356D3"/>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43C08"/>
    <w:rsid w:val="005B04B9"/>
    <w:rsid w:val="005B68C7"/>
    <w:rsid w:val="005B7054"/>
    <w:rsid w:val="005D0152"/>
    <w:rsid w:val="005D5981"/>
    <w:rsid w:val="005F30CB"/>
    <w:rsid w:val="00612644"/>
    <w:rsid w:val="00674CCD"/>
    <w:rsid w:val="006A18DC"/>
    <w:rsid w:val="006B24D1"/>
    <w:rsid w:val="006D6742"/>
    <w:rsid w:val="006E3654"/>
    <w:rsid w:val="006F5826"/>
    <w:rsid w:val="00700181"/>
    <w:rsid w:val="007141CF"/>
    <w:rsid w:val="00745146"/>
    <w:rsid w:val="0074635B"/>
    <w:rsid w:val="007577E3"/>
    <w:rsid w:val="00760DB3"/>
    <w:rsid w:val="00767204"/>
    <w:rsid w:val="007C3936"/>
    <w:rsid w:val="007C79F0"/>
    <w:rsid w:val="007E6507"/>
    <w:rsid w:val="007F2B8E"/>
    <w:rsid w:val="007F2DB0"/>
    <w:rsid w:val="00801CBB"/>
    <w:rsid w:val="00807247"/>
    <w:rsid w:val="00840C2B"/>
    <w:rsid w:val="00850889"/>
    <w:rsid w:val="008739FD"/>
    <w:rsid w:val="008A7BB6"/>
    <w:rsid w:val="008E372C"/>
    <w:rsid w:val="00920FD4"/>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2D9"/>
    <w:rsid w:val="00BE5468"/>
    <w:rsid w:val="00C11EAC"/>
    <w:rsid w:val="00C305D7"/>
    <w:rsid w:val="00C30F2A"/>
    <w:rsid w:val="00C43456"/>
    <w:rsid w:val="00C65C0C"/>
    <w:rsid w:val="00C808FC"/>
    <w:rsid w:val="00C93CD7"/>
    <w:rsid w:val="00CC5DCA"/>
    <w:rsid w:val="00CD7D97"/>
    <w:rsid w:val="00CE3EE6"/>
    <w:rsid w:val="00CE4BA1"/>
    <w:rsid w:val="00D000C7"/>
    <w:rsid w:val="00D52A9D"/>
    <w:rsid w:val="00D55AAD"/>
    <w:rsid w:val="00D747AE"/>
    <w:rsid w:val="00D9226C"/>
    <w:rsid w:val="00DA07CB"/>
    <w:rsid w:val="00DA20BD"/>
    <w:rsid w:val="00DE50DB"/>
    <w:rsid w:val="00DF6AE1"/>
    <w:rsid w:val="00E150A2"/>
    <w:rsid w:val="00E46FD5"/>
    <w:rsid w:val="00E544BB"/>
    <w:rsid w:val="00E56545"/>
    <w:rsid w:val="00E85004"/>
    <w:rsid w:val="00E90851"/>
    <w:rsid w:val="00EA5D4F"/>
    <w:rsid w:val="00EB6C56"/>
    <w:rsid w:val="00EB6F21"/>
    <w:rsid w:val="00ED54E0"/>
    <w:rsid w:val="00F01C13"/>
    <w:rsid w:val="00F32397"/>
    <w:rsid w:val="00F40595"/>
    <w:rsid w:val="00F8590C"/>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6D3"/>
    <w:pPr>
      <w:spacing w:after="0" w:line="240" w:lineRule="auto"/>
      <w:jc w:val="both"/>
    </w:pPr>
    <w:rPr>
      <w:rFonts w:ascii="Verdana" w:hAnsi="Verdana"/>
      <w:sz w:val="18"/>
      <w:lang w:val="es-ES"/>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lang w:val="en-GB"/>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lang w:val="en-GB"/>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lang w:val="en-GB"/>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lang w:val="en-GB"/>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lang w:val="en-GB"/>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lang w:val="en-GB"/>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lang w:val="en-GB"/>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lang w:val="en-GB"/>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lang w:val="en-GB"/>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rPr>
      <w:lang w:val="en-GB"/>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rPr>
      <w:lang w:val="en-GB"/>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lang w:val="en-GB"/>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rPr>
      <w:lang w:val="en-GB"/>
    </w:rPr>
  </w:style>
  <w:style w:type="paragraph" w:styleId="ListBullet2">
    <w:name w:val="List Bullet 2"/>
    <w:basedOn w:val="Normal"/>
    <w:uiPriority w:val="1"/>
    <w:rsid w:val="007F2DB0"/>
    <w:pPr>
      <w:numPr>
        <w:ilvl w:val="1"/>
        <w:numId w:val="17"/>
      </w:numPr>
      <w:tabs>
        <w:tab w:val="left" w:pos="1134"/>
      </w:tabs>
      <w:spacing w:after="240"/>
    </w:pPr>
    <w:rPr>
      <w:lang w:val="en-GB"/>
    </w:rPr>
  </w:style>
  <w:style w:type="paragraph" w:styleId="ListBullet3">
    <w:name w:val="List Bullet 3"/>
    <w:basedOn w:val="Normal"/>
    <w:uiPriority w:val="1"/>
    <w:qFormat/>
    <w:rsid w:val="007F2DB0"/>
    <w:pPr>
      <w:numPr>
        <w:ilvl w:val="2"/>
        <w:numId w:val="17"/>
      </w:numPr>
      <w:tabs>
        <w:tab w:val="left" w:pos="1701"/>
      </w:tabs>
      <w:spacing w:after="240"/>
    </w:pPr>
    <w:rPr>
      <w:lang w:val="en-GB"/>
    </w:rPr>
  </w:style>
  <w:style w:type="paragraph" w:styleId="ListBullet4">
    <w:name w:val="List Bullet 4"/>
    <w:basedOn w:val="Normal"/>
    <w:uiPriority w:val="1"/>
    <w:rsid w:val="007F2DB0"/>
    <w:pPr>
      <w:numPr>
        <w:ilvl w:val="3"/>
        <w:numId w:val="17"/>
      </w:numPr>
      <w:spacing w:after="240"/>
    </w:pPr>
    <w:rPr>
      <w:lang w:val="en-GB"/>
    </w:rPr>
  </w:style>
  <w:style w:type="paragraph" w:styleId="ListBullet5">
    <w:name w:val="List Bullet 5"/>
    <w:basedOn w:val="Normal"/>
    <w:uiPriority w:val="1"/>
    <w:rsid w:val="007F2DB0"/>
    <w:pPr>
      <w:numPr>
        <w:ilvl w:val="4"/>
        <w:numId w:val="17"/>
      </w:numPr>
      <w:spacing w:after="240"/>
    </w:pPr>
    <w:rPr>
      <w:lang w:val="en-GB"/>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lang w:val="en-GB"/>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val="en-GB"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val="en-GB"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lang w:val="en-GB"/>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val="en-GB"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val="en-GB"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val="en-GB"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val="en-GB"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val="en-GB"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val="en-GB"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val="en-GB"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val="en-GB"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val="en-GB"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val="en-GB"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val="en-GB"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val="en-GB"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val="en-GB"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val="en-GB"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val="en-GB"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lang w:val="en-GB"/>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lang w:val="en-GB"/>
    </w:rPr>
  </w:style>
  <w:style w:type="paragraph" w:customStyle="1" w:styleId="SummarySubheader">
    <w:name w:val="SummarySubheader"/>
    <w:basedOn w:val="Normal"/>
    <w:uiPriority w:val="4"/>
    <w:qFormat/>
    <w:rsid w:val="00FF4616"/>
    <w:pPr>
      <w:spacing w:after="240"/>
      <w:outlineLvl w:val="1"/>
    </w:pPr>
    <w:rPr>
      <w:b/>
      <w:color w:val="006283"/>
      <w:lang w:val="en-GB"/>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lang w:val="en-GB"/>
    </w:rPr>
  </w:style>
  <w:style w:type="paragraph" w:styleId="ListParagraph">
    <w:name w:val="List Paragraph"/>
    <w:basedOn w:val="Normal"/>
    <w:uiPriority w:val="59"/>
    <w:semiHidden/>
    <w:qFormat/>
    <w:rsid w:val="00AA332C"/>
    <w:pPr>
      <w:ind w:left="720"/>
      <w:contextualSpacing/>
    </w:pPr>
    <w:rPr>
      <w:lang w:val="en-GB"/>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lang w:val="en-GB"/>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rPr>
      <w:lang w:val="en-GB"/>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lang w:val="en-GB"/>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rPr>
      <w:lang w:val="en-GB"/>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rPr>
      <w:lang w:val="en-GB"/>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lang w:val="en-GB"/>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rPr>
      <w:lang w:val="en-GB"/>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lang w:val="en-GB"/>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rPr>
      <w:lang w:val="en-GB"/>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lang w:val="en-GB"/>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lang w:val="en-GB"/>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lang w:val="en-GB"/>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rPr>
      <w:lang w:val="en-GB"/>
    </w:rPr>
  </w:style>
  <w:style w:type="paragraph" w:styleId="Index2">
    <w:name w:val="index 2"/>
    <w:basedOn w:val="Normal"/>
    <w:next w:val="Normal"/>
    <w:autoRedefine/>
    <w:uiPriority w:val="99"/>
    <w:semiHidden/>
    <w:unhideWhenUsed/>
    <w:rsid w:val="001D0F5C"/>
    <w:pPr>
      <w:ind w:left="360" w:hanging="180"/>
    </w:pPr>
    <w:rPr>
      <w:lang w:val="en-GB"/>
    </w:rPr>
  </w:style>
  <w:style w:type="paragraph" w:styleId="Index3">
    <w:name w:val="index 3"/>
    <w:basedOn w:val="Normal"/>
    <w:next w:val="Normal"/>
    <w:autoRedefine/>
    <w:uiPriority w:val="99"/>
    <w:semiHidden/>
    <w:unhideWhenUsed/>
    <w:rsid w:val="001D0F5C"/>
    <w:pPr>
      <w:ind w:left="540" w:hanging="180"/>
    </w:pPr>
    <w:rPr>
      <w:lang w:val="en-GB"/>
    </w:rPr>
  </w:style>
  <w:style w:type="paragraph" w:styleId="Index4">
    <w:name w:val="index 4"/>
    <w:basedOn w:val="Normal"/>
    <w:next w:val="Normal"/>
    <w:autoRedefine/>
    <w:uiPriority w:val="99"/>
    <w:semiHidden/>
    <w:unhideWhenUsed/>
    <w:rsid w:val="001D0F5C"/>
    <w:pPr>
      <w:ind w:left="720" w:hanging="180"/>
    </w:pPr>
    <w:rPr>
      <w:lang w:val="en-GB"/>
    </w:rPr>
  </w:style>
  <w:style w:type="paragraph" w:styleId="Index5">
    <w:name w:val="index 5"/>
    <w:basedOn w:val="Normal"/>
    <w:next w:val="Normal"/>
    <w:autoRedefine/>
    <w:uiPriority w:val="99"/>
    <w:semiHidden/>
    <w:unhideWhenUsed/>
    <w:rsid w:val="001D0F5C"/>
    <w:pPr>
      <w:ind w:left="900" w:hanging="180"/>
    </w:pPr>
    <w:rPr>
      <w:lang w:val="en-GB"/>
    </w:rPr>
  </w:style>
  <w:style w:type="paragraph" w:styleId="Index6">
    <w:name w:val="index 6"/>
    <w:basedOn w:val="Normal"/>
    <w:next w:val="Normal"/>
    <w:autoRedefine/>
    <w:uiPriority w:val="99"/>
    <w:semiHidden/>
    <w:unhideWhenUsed/>
    <w:rsid w:val="001D0F5C"/>
    <w:pPr>
      <w:ind w:left="1080" w:hanging="180"/>
    </w:pPr>
    <w:rPr>
      <w:lang w:val="en-GB"/>
    </w:rPr>
  </w:style>
  <w:style w:type="paragraph" w:styleId="Index7">
    <w:name w:val="index 7"/>
    <w:basedOn w:val="Normal"/>
    <w:next w:val="Normal"/>
    <w:autoRedefine/>
    <w:uiPriority w:val="99"/>
    <w:semiHidden/>
    <w:unhideWhenUsed/>
    <w:rsid w:val="001D0F5C"/>
    <w:pPr>
      <w:ind w:left="1260" w:hanging="180"/>
    </w:pPr>
    <w:rPr>
      <w:lang w:val="en-GB"/>
    </w:rPr>
  </w:style>
  <w:style w:type="paragraph" w:styleId="Index8">
    <w:name w:val="index 8"/>
    <w:basedOn w:val="Normal"/>
    <w:next w:val="Normal"/>
    <w:autoRedefine/>
    <w:uiPriority w:val="99"/>
    <w:semiHidden/>
    <w:unhideWhenUsed/>
    <w:rsid w:val="001D0F5C"/>
    <w:pPr>
      <w:ind w:left="1440" w:hanging="180"/>
    </w:pPr>
    <w:rPr>
      <w:lang w:val="en-GB"/>
    </w:rPr>
  </w:style>
  <w:style w:type="paragraph" w:styleId="Index9">
    <w:name w:val="index 9"/>
    <w:basedOn w:val="Normal"/>
    <w:next w:val="Normal"/>
    <w:autoRedefine/>
    <w:uiPriority w:val="99"/>
    <w:semiHidden/>
    <w:unhideWhenUsed/>
    <w:rsid w:val="001D0F5C"/>
    <w:pPr>
      <w:ind w:left="1620" w:hanging="180"/>
    </w:pPr>
    <w:rPr>
      <w:lang w:val="en-GB"/>
    </w:r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lang w:val="en-GB"/>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rPr>
      <w:lang w:val="en-GB"/>
    </w:rPr>
  </w:style>
  <w:style w:type="paragraph" w:styleId="List2">
    <w:name w:val="List 2"/>
    <w:basedOn w:val="Normal"/>
    <w:uiPriority w:val="99"/>
    <w:semiHidden/>
    <w:unhideWhenUsed/>
    <w:rsid w:val="001D0F5C"/>
    <w:pPr>
      <w:ind w:left="566" w:hanging="283"/>
      <w:contextualSpacing/>
    </w:pPr>
    <w:rPr>
      <w:lang w:val="en-GB"/>
    </w:rPr>
  </w:style>
  <w:style w:type="paragraph" w:styleId="List3">
    <w:name w:val="List 3"/>
    <w:basedOn w:val="Normal"/>
    <w:uiPriority w:val="99"/>
    <w:semiHidden/>
    <w:unhideWhenUsed/>
    <w:rsid w:val="001D0F5C"/>
    <w:pPr>
      <w:ind w:left="849" w:hanging="283"/>
      <w:contextualSpacing/>
    </w:pPr>
    <w:rPr>
      <w:lang w:val="en-GB"/>
    </w:rPr>
  </w:style>
  <w:style w:type="paragraph" w:styleId="List4">
    <w:name w:val="List 4"/>
    <w:basedOn w:val="Normal"/>
    <w:uiPriority w:val="99"/>
    <w:semiHidden/>
    <w:unhideWhenUsed/>
    <w:rsid w:val="001D0F5C"/>
    <w:pPr>
      <w:ind w:left="1132" w:hanging="283"/>
      <w:contextualSpacing/>
    </w:pPr>
    <w:rPr>
      <w:lang w:val="en-GB"/>
    </w:rPr>
  </w:style>
  <w:style w:type="paragraph" w:styleId="List5">
    <w:name w:val="List 5"/>
    <w:basedOn w:val="Normal"/>
    <w:uiPriority w:val="99"/>
    <w:semiHidden/>
    <w:unhideWhenUsed/>
    <w:rsid w:val="001D0F5C"/>
    <w:pPr>
      <w:ind w:left="1415" w:hanging="283"/>
      <w:contextualSpacing/>
    </w:pPr>
    <w:rPr>
      <w:lang w:val="en-GB"/>
    </w:rPr>
  </w:style>
  <w:style w:type="paragraph" w:styleId="ListContinue">
    <w:name w:val="List Continue"/>
    <w:basedOn w:val="Normal"/>
    <w:uiPriority w:val="99"/>
    <w:semiHidden/>
    <w:unhideWhenUsed/>
    <w:rsid w:val="001D0F5C"/>
    <w:pPr>
      <w:spacing w:after="120"/>
      <w:ind w:left="283"/>
      <w:contextualSpacing/>
    </w:pPr>
    <w:rPr>
      <w:lang w:val="en-GB"/>
    </w:rPr>
  </w:style>
  <w:style w:type="paragraph" w:styleId="ListContinue2">
    <w:name w:val="List Continue 2"/>
    <w:basedOn w:val="Normal"/>
    <w:uiPriority w:val="99"/>
    <w:semiHidden/>
    <w:unhideWhenUsed/>
    <w:rsid w:val="001D0F5C"/>
    <w:pPr>
      <w:spacing w:after="120"/>
      <w:ind w:left="566"/>
      <w:contextualSpacing/>
    </w:pPr>
    <w:rPr>
      <w:lang w:val="en-GB"/>
    </w:rPr>
  </w:style>
  <w:style w:type="paragraph" w:styleId="ListContinue3">
    <w:name w:val="List Continue 3"/>
    <w:basedOn w:val="Normal"/>
    <w:uiPriority w:val="99"/>
    <w:semiHidden/>
    <w:unhideWhenUsed/>
    <w:rsid w:val="001D0F5C"/>
    <w:pPr>
      <w:spacing w:after="120"/>
      <w:ind w:left="849"/>
      <w:contextualSpacing/>
    </w:pPr>
    <w:rPr>
      <w:lang w:val="en-GB"/>
    </w:rPr>
  </w:style>
  <w:style w:type="paragraph" w:styleId="ListContinue4">
    <w:name w:val="List Continue 4"/>
    <w:basedOn w:val="Normal"/>
    <w:uiPriority w:val="99"/>
    <w:semiHidden/>
    <w:unhideWhenUsed/>
    <w:rsid w:val="001D0F5C"/>
    <w:pPr>
      <w:spacing w:after="120"/>
      <w:ind w:left="1132"/>
      <w:contextualSpacing/>
    </w:pPr>
    <w:rPr>
      <w:lang w:val="en-GB"/>
    </w:rPr>
  </w:style>
  <w:style w:type="paragraph" w:styleId="ListContinue5">
    <w:name w:val="List Continue 5"/>
    <w:basedOn w:val="Normal"/>
    <w:uiPriority w:val="99"/>
    <w:semiHidden/>
    <w:unhideWhenUsed/>
    <w:rsid w:val="001D0F5C"/>
    <w:pPr>
      <w:spacing w:after="120"/>
      <w:ind w:left="1415"/>
      <w:contextualSpacing/>
    </w:pPr>
    <w:rPr>
      <w:lang w:val="en-GB"/>
    </w:rPr>
  </w:style>
  <w:style w:type="paragraph" w:styleId="ListNumber">
    <w:name w:val="List Number"/>
    <w:basedOn w:val="Normal"/>
    <w:uiPriority w:val="49"/>
    <w:semiHidden/>
    <w:unhideWhenUsed/>
    <w:rsid w:val="001D0F5C"/>
    <w:pPr>
      <w:numPr>
        <w:numId w:val="11"/>
      </w:numPr>
      <w:contextualSpacing/>
    </w:pPr>
    <w:rPr>
      <w:lang w:val="en-GB"/>
    </w:rPr>
  </w:style>
  <w:style w:type="paragraph" w:styleId="ListNumber2">
    <w:name w:val="List Number 2"/>
    <w:basedOn w:val="Normal"/>
    <w:uiPriority w:val="49"/>
    <w:semiHidden/>
    <w:unhideWhenUsed/>
    <w:rsid w:val="001D0F5C"/>
    <w:pPr>
      <w:numPr>
        <w:numId w:val="12"/>
      </w:numPr>
      <w:contextualSpacing/>
    </w:pPr>
    <w:rPr>
      <w:lang w:val="en-GB"/>
    </w:rPr>
  </w:style>
  <w:style w:type="paragraph" w:styleId="ListNumber3">
    <w:name w:val="List Number 3"/>
    <w:basedOn w:val="Normal"/>
    <w:uiPriority w:val="49"/>
    <w:semiHidden/>
    <w:unhideWhenUsed/>
    <w:rsid w:val="001D0F5C"/>
    <w:pPr>
      <w:numPr>
        <w:numId w:val="13"/>
      </w:numPr>
      <w:contextualSpacing/>
    </w:pPr>
    <w:rPr>
      <w:lang w:val="en-GB"/>
    </w:rPr>
  </w:style>
  <w:style w:type="paragraph" w:styleId="ListNumber4">
    <w:name w:val="List Number 4"/>
    <w:basedOn w:val="Normal"/>
    <w:uiPriority w:val="49"/>
    <w:semiHidden/>
    <w:unhideWhenUsed/>
    <w:rsid w:val="001D0F5C"/>
    <w:pPr>
      <w:numPr>
        <w:numId w:val="14"/>
      </w:numPr>
      <w:contextualSpacing/>
    </w:pPr>
    <w:rPr>
      <w:lang w:val="en-GB"/>
    </w:rPr>
  </w:style>
  <w:style w:type="paragraph" w:styleId="ListNumber5">
    <w:name w:val="List Number 5"/>
    <w:basedOn w:val="Normal"/>
    <w:uiPriority w:val="49"/>
    <w:semiHidden/>
    <w:unhideWhenUsed/>
    <w:rsid w:val="001D0F5C"/>
    <w:pPr>
      <w:numPr>
        <w:numId w:val="15"/>
      </w:numPr>
      <w:contextualSpacing/>
    </w:pPr>
    <w:rPr>
      <w:lang w:val="en-GB"/>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lang w:val="en-GB"/>
    </w:rPr>
  </w:style>
  <w:style w:type="paragraph" w:styleId="NormalIndent">
    <w:name w:val="Normal Indent"/>
    <w:basedOn w:val="Normal"/>
    <w:uiPriority w:val="99"/>
    <w:semiHidden/>
    <w:unhideWhenUsed/>
    <w:rsid w:val="001D0F5C"/>
    <w:pPr>
      <w:ind w:left="720"/>
    </w:pPr>
    <w:rPr>
      <w:lang w:val="en-GB"/>
    </w:rPr>
  </w:style>
  <w:style w:type="paragraph" w:styleId="NoteHeading">
    <w:name w:val="Note Heading"/>
    <w:basedOn w:val="Normal"/>
    <w:next w:val="Normal"/>
    <w:link w:val="NoteHeadingChar"/>
    <w:uiPriority w:val="99"/>
    <w:semiHidden/>
    <w:unhideWhenUsed/>
    <w:rsid w:val="001D0F5C"/>
    <w:rPr>
      <w:lang w:val="en-GB"/>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lang w:val="en-GB"/>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lang w:val="en-GB"/>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rPr>
      <w:lang w:val="en-GB"/>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rPr>
      <w:lang w:val="en-GB"/>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lang w:val="en-GB"/>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lang w:val="en-GB"/>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814</Words>
  <Characters>4643</Characters>
  <Application>Microsoft Office Word</Application>
  <DocSecurity>0</DocSecurity>
  <Lines>38</Lines>
  <Paragraphs>10</Paragraphs>
  <ScaleCrop>false</ScaleCrop>
  <Company/>
  <LinksUpToDate>false</LinksUpToDate>
  <CharactersWithSpaces>5447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2022-02-08T22:05:00Z</dcterms:created>
  <dcterms:modified xsi:type="dcterms:W3CDTF">2022-02-08T22:05:00Z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